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3C" w:rsidRDefault="00246F3C" w:rsidP="00246F3C">
      <w:pPr>
        <w:tabs>
          <w:tab w:val="left" w:pos="720"/>
        </w:tabs>
        <w:rPr>
          <w:b/>
        </w:rPr>
      </w:pPr>
    </w:p>
    <w:p w:rsidR="00246F3C" w:rsidRDefault="00246F3C" w:rsidP="00246F3C">
      <w:pPr>
        <w:tabs>
          <w:tab w:val="left" w:pos="720"/>
        </w:tabs>
        <w:rPr>
          <w:b/>
        </w:rPr>
      </w:pPr>
    </w:p>
    <w:p w:rsidR="00246F3C" w:rsidRDefault="00246F3C" w:rsidP="00246F3C">
      <w:pPr>
        <w:jc w:val="center"/>
      </w:pPr>
      <w:r>
        <w:rPr>
          <w:noProof/>
        </w:rPr>
        <w:drawing>
          <wp:inline distT="0" distB="0" distL="0" distR="0">
            <wp:extent cx="899795" cy="892175"/>
            <wp:effectExtent l="19050" t="0" r="0" b="0"/>
            <wp:docPr id="8" name="Picture 8" descr="mass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ssseal"/>
                    <pic:cNvPicPr>
                      <a:picLocks noChangeAspect="1" noChangeArrowheads="1"/>
                    </pic:cNvPicPr>
                  </pic:nvPicPr>
                  <pic:blipFill>
                    <a:blip r:embed="rId6" cstate="print"/>
                    <a:srcRect/>
                    <a:stretch>
                      <a:fillRect/>
                    </a:stretch>
                  </pic:blipFill>
                  <pic:spPr bwMode="auto">
                    <a:xfrm>
                      <a:off x="0" y="0"/>
                      <a:ext cx="899795" cy="892175"/>
                    </a:xfrm>
                    <a:prstGeom prst="rect">
                      <a:avLst/>
                    </a:prstGeom>
                    <a:noFill/>
                    <a:ln w="9525">
                      <a:noFill/>
                      <a:miter lim="800000"/>
                      <a:headEnd/>
                      <a:tailEnd/>
                    </a:ln>
                  </pic:spPr>
                </pic:pic>
              </a:graphicData>
            </a:graphic>
          </wp:inline>
        </w:drawing>
      </w:r>
    </w:p>
    <w:p w:rsidR="00246F3C" w:rsidRDefault="00246F3C" w:rsidP="00246F3C">
      <w:pPr>
        <w:jc w:val="center"/>
      </w:pPr>
    </w:p>
    <w:p w:rsidR="00246F3C" w:rsidRDefault="00013265" w:rsidP="00246F3C">
      <w:pPr>
        <w:jc w:val="center"/>
      </w:pPr>
      <w:r>
        <w:rPr>
          <w:noProof/>
        </w:rPr>
        <w:pict>
          <v:line id="_x0000_s1026" style="position:absolute;left:0;text-align:left;flip:y;z-index:251660288" from="27pt,49.65pt" to="418.05pt,51.2pt" strokeweight="3pt"/>
        </w:pict>
      </w:r>
      <w:r w:rsidR="00246F3C">
        <w:rPr>
          <w:noProof/>
        </w:rPr>
        <w:drawing>
          <wp:inline distT="0" distB="0" distL="0" distR="0">
            <wp:extent cx="2275205" cy="534035"/>
            <wp:effectExtent l="19050" t="0" r="0" b="0"/>
            <wp:docPr id="9" name="Picture 9" descr="MassD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ssDEP"/>
                    <pic:cNvPicPr>
                      <a:picLocks noChangeAspect="1" noChangeArrowheads="1"/>
                    </pic:cNvPicPr>
                  </pic:nvPicPr>
                  <pic:blipFill>
                    <a:blip r:embed="rId7" cstate="print"/>
                    <a:srcRect/>
                    <a:stretch>
                      <a:fillRect/>
                    </a:stretch>
                  </pic:blipFill>
                  <pic:spPr bwMode="auto">
                    <a:xfrm>
                      <a:off x="0" y="0"/>
                      <a:ext cx="2275205" cy="534035"/>
                    </a:xfrm>
                    <a:prstGeom prst="rect">
                      <a:avLst/>
                    </a:prstGeom>
                    <a:noFill/>
                    <a:ln w="9525">
                      <a:noFill/>
                      <a:miter lim="800000"/>
                      <a:headEnd/>
                      <a:tailEnd/>
                    </a:ln>
                  </pic:spPr>
                </pic:pic>
              </a:graphicData>
            </a:graphic>
          </wp:inline>
        </w:drawing>
      </w:r>
    </w:p>
    <w:tbl>
      <w:tblPr>
        <w:tblpPr w:leftFromText="180" w:rightFromText="180" w:vertAnchor="text" w:horzAnchor="margin" w:tblpY="188"/>
        <w:tblW w:w="9090" w:type="dxa"/>
        <w:tblLook w:val="0000" w:firstRow="0" w:lastRow="0" w:firstColumn="0" w:lastColumn="0" w:noHBand="0" w:noVBand="0"/>
      </w:tblPr>
      <w:tblGrid>
        <w:gridCol w:w="9090"/>
      </w:tblGrid>
      <w:tr w:rsidR="00246F3C" w:rsidTr="000E61A5">
        <w:trPr>
          <w:trHeight w:val="1152"/>
        </w:trPr>
        <w:tc>
          <w:tcPr>
            <w:tcW w:w="9090" w:type="dxa"/>
          </w:tcPr>
          <w:p w:rsidR="00246F3C" w:rsidRDefault="00246F3C" w:rsidP="000E61A5">
            <w:pPr>
              <w:pStyle w:val="BodyText3"/>
              <w:rPr>
                <w:sz w:val="20"/>
              </w:rPr>
            </w:pPr>
          </w:p>
          <w:p w:rsidR="00246F3C" w:rsidRPr="00F36F27" w:rsidRDefault="00246F3C" w:rsidP="000E61A5">
            <w:pPr>
              <w:jc w:val="center"/>
              <w:rPr>
                <w:rFonts w:ascii="Arial" w:hAnsi="Arial" w:cs="Arial"/>
                <w:sz w:val="32"/>
                <w:szCs w:val="32"/>
              </w:rPr>
            </w:pPr>
            <w:r w:rsidRPr="00F36F27">
              <w:rPr>
                <w:rFonts w:ascii="Arial" w:hAnsi="Arial" w:cs="Arial"/>
                <w:b/>
                <w:sz w:val="32"/>
                <w:szCs w:val="32"/>
              </w:rPr>
              <w:t>Massachusetts Department of Environmental Protection</w:t>
            </w:r>
          </w:p>
          <w:p w:rsidR="00246F3C" w:rsidRPr="00F36F27" w:rsidRDefault="00246F3C" w:rsidP="000E61A5">
            <w:pPr>
              <w:jc w:val="center"/>
              <w:rPr>
                <w:rFonts w:ascii="Arial" w:hAnsi="Arial" w:cs="Arial"/>
                <w:b/>
                <w:sz w:val="32"/>
                <w:szCs w:val="32"/>
              </w:rPr>
            </w:pPr>
            <w:r w:rsidRPr="00F36F27">
              <w:rPr>
                <w:rFonts w:ascii="Arial" w:hAnsi="Arial" w:cs="Arial"/>
                <w:b/>
                <w:sz w:val="32"/>
                <w:szCs w:val="32"/>
              </w:rPr>
              <w:t>Division of Watershed Management</w:t>
            </w:r>
          </w:p>
          <w:p w:rsidR="00246F3C" w:rsidRDefault="00246F3C" w:rsidP="000E61A5">
            <w:pPr>
              <w:jc w:val="center"/>
            </w:pPr>
          </w:p>
        </w:tc>
      </w:tr>
    </w:tbl>
    <w:p w:rsidR="00246F3C" w:rsidRDefault="00246F3C" w:rsidP="00246F3C">
      <w:pPr>
        <w:jc w:val="center"/>
      </w:pPr>
    </w:p>
    <w:p w:rsidR="00246F3C" w:rsidRDefault="00246F3C" w:rsidP="00246F3C"/>
    <w:p w:rsidR="00246F3C" w:rsidRPr="005B2553" w:rsidRDefault="00246F3C" w:rsidP="00246F3C">
      <w:pPr>
        <w:pStyle w:val="Title"/>
        <w:rPr>
          <w:color w:val="FF0000"/>
        </w:rPr>
      </w:pPr>
    </w:p>
    <w:p w:rsidR="00246F3C" w:rsidRPr="008B2119" w:rsidRDefault="00246F3C" w:rsidP="00246F3C">
      <w:pPr>
        <w:pStyle w:val="Title"/>
      </w:pPr>
      <w:r w:rsidRPr="008B2119">
        <w:t>STANDARD OPERATING PROCEDURE</w:t>
      </w:r>
    </w:p>
    <w:p w:rsidR="00246F3C" w:rsidRDefault="00246F3C" w:rsidP="00246F3C">
      <w:pPr>
        <w:rPr>
          <w:b/>
        </w:rPr>
      </w:pPr>
    </w:p>
    <w:p w:rsidR="00246F3C" w:rsidRPr="00246F3C" w:rsidRDefault="00246F3C" w:rsidP="00246F3C">
      <w:pPr>
        <w:jc w:val="center"/>
        <w:rPr>
          <w:b/>
          <w:sz w:val="36"/>
          <w:szCs w:val="36"/>
        </w:rPr>
      </w:pPr>
      <w:r w:rsidRPr="00246F3C">
        <w:rPr>
          <w:b/>
          <w:iCs/>
          <w:sz w:val="36"/>
          <w:szCs w:val="36"/>
          <w:u w:val="single"/>
        </w:rPr>
        <w:t>Continuous Conductivity Monitoring</w:t>
      </w:r>
      <w:r w:rsidRPr="00246F3C">
        <w:rPr>
          <w:b/>
          <w:sz w:val="36"/>
          <w:szCs w:val="36"/>
          <w:u w:val="single"/>
        </w:rPr>
        <w:t xml:space="preserve"> </w:t>
      </w:r>
    </w:p>
    <w:p w:rsidR="00246F3C" w:rsidRDefault="00246F3C" w:rsidP="00246F3C">
      <w:pPr>
        <w:jc w:val="center"/>
        <w:rPr>
          <w:b/>
        </w:rPr>
      </w:pPr>
    </w:p>
    <w:p w:rsidR="00246F3C" w:rsidRPr="00246F3C" w:rsidRDefault="00246F3C" w:rsidP="00246F3C">
      <w:pPr>
        <w:jc w:val="center"/>
      </w:pPr>
      <w:r w:rsidRPr="00246F3C">
        <w:t xml:space="preserve">CN </w:t>
      </w:r>
      <w:r>
        <w:t>349.0</w:t>
      </w:r>
    </w:p>
    <w:p w:rsidR="00246F3C" w:rsidRPr="00F36F27" w:rsidRDefault="00246F3C" w:rsidP="00246F3C">
      <w:pPr>
        <w:jc w:val="center"/>
        <w:rPr>
          <w:rFonts w:ascii="Arial" w:hAnsi="Arial" w:cs="Arial"/>
        </w:rPr>
      </w:pPr>
      <w:r>
        <w:t>September, 2015</w:t>
      </w:r>
    </w:p>
    <w:p w:rsidR="00246F3C" w:rsidRDefault="00246F3C" w:rsidP="00246F3C"/>
    <w:p w:rsidR="00246F3C" w:rsidRDefault="00246F3C" w:rsidP="00246F3C"/>
    <w:p w:rsidR="00246F3C" w:rsidRDefault="00246F3C" w:rsidP="00246F3C"/>
    <w:p w:rsidR="00246F3C" w:rsidRDefault="00246F3C" w:rsidP="00246F3C"/>
    <w:p w:rsidR="00246F3C" w:rsidRDefault="00246F3C" w:rsidP="00246F3C"/>
    <w:p w:rsidR="00246F3C" w:rsidRDefault="00246F3C" w:rsidP="00246F3C"/>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410"/>
        <w:gridCol w:w="810"/>
        <w:gridCol w:w="2340"/>
      </w:tblGrid>
      <w:tr w:rsidR="00246F3C" w:rsidTr="000E61A5">
        <w:trPr>
          <w:trHeight w:val="432"/>
        </w:trPr>
        <w:tc>
          <w:tcPr>
            <w:tcW w:w="1728" w:type="dxa"/>
            <w:tcBorders>
              <w:top w:val="nil"/>
              <w:left w:val="nil"/>
              <w:bottom w:val="nil"/>
              <w:right w:val="nil"/>
            </w:tcBorders>
            <w:vAlign w:val="center"/>
          </w:tcPr>
          <w:p w:rsidR="00246F3C" w:rsidRPr="0091315F" w:rsidRDefault="00246F3C" w:rsidP="000E61A5">
            <w:pPr>
              <w:rPr>
                <w:rFonts w:ascii="Arial" w:hAnsi="Arial" w:cs="Arial"/>
                <w:sz w:val="20"/>
              </w:rPr>
            </w:pPr>
            <w:r w:rsidRPr="0091315F">
              <w:rPr>
                <w:rFonts w:ascii="Arial" w:hAnsi="Arial" w:cs="Arial"/>
                <w:sz w:val="20"/>
              </w:rPr>
              <w:t>Prepared by:</w:t>
            </w:r>
          </w:p>
        </w:tc>
        <w:tc>
          <w:tcPr>
            <w:tcW w:w="4410" w:type="dxa"/>
            <w:tcBorders>
              <w:top w:val="nil"/>
              <w:left w:val="nil"/>
              <w:bottom w:val="single" w:sz="4" w:space="0" w:color="auto"/>
              <w:right w:val="nil"/>
            </w:tcBorders>
            <w:vAlign w:val="center"/>
          </w:tcPr>
          <w:p w:rsidR="00246F3C" w:rsidRPr="0091315F" w:rsidRDefault="00246F3C" w:rsidP="000E61A5">
            <w:pPr>
              <w:pStyle w:val="Heading6"/>
              <w:tabs>
                <w:tab w:val="left" w:pos="2052"/>
              </w:tabs>
              <w:spacing w:before="0" w:after="0"/>
              <w:ind w:left="1872" w:hanging="1872"/>
              <w:rPr>
                <w:rFonts w:ascii="Arial" w:hAnsi="Arial" w:cs="Arial"/>
                <w:b w:val="0"/>
                <w:sz w:val="20"/>
                <w:szCs w:val="20"/>
              </w:rPr>
            </w:pPr>
          </w:p>
        </w:tc>
        <w:tc>
          <w:tcPr>
            <w:tcW w:w="810" w:type="dxa"/>
            <w:tcBorders>
              <w:top w:val="nil"/>
              <w:left w:val="nil"/>
              <w:bottom w:val="nil"/>
              <w:right w:val="nil"/>
            </w:tcBorders>
            <w:vAlign w:val="center"/>
          </w:tcPr>
          <w:p w:rsidR="00246F3C" w:rsidRPr="0091315F" w:rsidRDefault="00246F3C" w:rsidP="000E61A5">
            <w:pPr>
              <w:rPr>
                <w:rFonts w:ascii="Arial" w:hAnsi="Arial" w:cs="Arial"/>
                <w:sz w:val="20"/>
              </w:rPr>
            </w:pPr>
            <w:r w:rsidRPr="0091315F">
              <w:rPr>
                <w:rFonts w:ascii="Arial" w:hAnsi="Arial" w:cs="Arial"/>
                <w:sz w:val="20"/>
              </w:rPr>
              <w:t xml:space="preserve">Date: </w:t>
            </w:r>
          </w:p>
        </w:tc>
        <w:tc>
          <w:tcPr>
            <w:tcW w:w="2340" w:type="dxa"/>
            <w:tcBorders>
              <w:top w:val="nil"/>
              <w:left w:val="nil"/>
              <w:bottom w:val="nil"/>
              <w:right w:val="nil"/>
            </w:tcBorders>
            <w:vAlign w:val="center"/>
          </w:tcPr>
          <w:p w:rsidR="00246F3C" w:rsidRPr="0091315F" w:rsidRDefault="00246F3C" w:rsidP="000E61A5">
            <w:pPr>
              <w:rPr>
                <w:rFonts w:ascii="Arial" w:hAnsi="Arial" w:cs="Arial"/>
                <w:sz w:val="20"/>
              </w:rPr>
            </w:pPr>
          </w:p>
        </w:tc>
      </w:tr>
      <w:tr w:rsidR="00246F3C" w:rsidTr="000E61A5">
        <w:trPr>
          <w:trHeight w:val="432"/>
        </w:trPr>
        <w:tc>
          <w:tcPr>
            <w:tcW w:w="1728" w:type="dxa"/>
            <w:tcBorders>
              <w:top w:val="nil"/>
              <w:left w:val="nil"/>
              <w:bottom w:val="nil"/>
              <w:right w:val="nil"/>
            </w:tcBorders>
            <w:vAlign w:val="center"/>
          </w:tcPr>
          <w:p w:rsidR="00246F3C" w:rsidRPr="0091315F" w:rsidRDefault="00246F3C" w:rsidP="000E61A5">
            <w:pPr>
              <w:rPr>
                <w:rFonts w:ascii="Arial" w:hAnsi="Arial" w:cs="Arial"/>
                <w:sz w:val="20"/>
              </w:rPr>
            </w:pPr>
          </w:p>
        </w:tc>
        <w:tc>
          <w:tcPr>
            <w:tcW w:w="4410" w:type="dxa"/>
            <w:tcBorders>
              <w:top w:val="nil"/>
              <w:left w:val="nil"/>
              <w:bottom w:val="nil"/>
              <w:right w:val="nil"/>
            </w:tcBorders>
            <w:vAlign w:val="center"/>
          </w:tcPr>
          <w:p w:rsidR="00246F3C" w:rsidRPr="0091315F" w:rsidRDefault="00246F3C" w:rsidP="000E61A5">
            <w:pPr>
              <w:pStyle w:val="Heading6"/>
              <w:spacing w:before="0" w:after="0"/>
              <w:rPr>
                <w:rFonts w:ascii="Arial" w:hAnsi="Arial" w:cs="Arial"/>
                <w:b w:val="0"/>
                <w:sz w:val="20"/>
                <w:szCs w:val="20"/>
              </w:rPr>
            </w:pPr>
            <w:r w:rsidRPr="0091315F">
              <w:rPr>
                <w:rFonts w:ascii="Arial" w:hAnsi="Arial" w:cs="Arial"/>
                <w:b w:val="0"/>
                <w:sz w:val="20"/>
                <w:szCs w:val="20"/>
              </w:rPr>
              <w:t>Richard Chase, Quality Assurance Analyst</w:t>
            </w:r>
          </w:p>
        </w:tc>
        <w:tc>
          <w:tcPr>
            <w:tcW w:w="810" w:type="dxa"/>
            <w:tcBorders>
              <w:top w:val="nil"/>
              <w:left w:val="nil"/>
              <w:bottom w:val="nil"/>
              <w:right w:val="nil"/>
            </w:tcBorders>
            <w:vAlign w:val="center"/>
          </w:tcPr>
          <w:p w:rsidR="00246F3C" w:rsidRPr="0091315F" w:rsidRDefault="00246F3C" w:rsidP="000E61A5">
            <w:pPr>
              <w:rPr>
                <w:rFonts w:ascii="Arial" w:hAnsi="Arial" w:cs="Arial"/>
                <w:sz w:val="20"/>
              </w:rPr>
            </w:pPr>
          </w:p>
        </w:tc>
        <w:tc>
          <w:tcPr>
            <w:tcW w:w="2340" w:type="dxa"/>
            <w:tcBorders>
              <w:top w:val="single" w:sz="4" w:space="0" w:color="auto"/>
              <w:left w:val="nil"/>
              <w:bottom w:val="nil"/>
              <w:right w:val="nil"/>
            </w:tcBorders>
            <w:vAlign w:val="center"/>
          </w:tcPr>
          <w:p w:rsidR="00246F3C" w:rsidRPr="0091315F" w:rsidRDefault="00246F3C" w:rsidP="000E61A5">
            <w:pPr>
              <w:rPr>
                <w:rFonts w:ascii="Arial" w:hAnsi="Arial" w:cs="Arial"/>
                <w:sz w:val="20"/>
              </w:rPr>
            </w:pPr>
          </w:p>
        </w:tc>
      </w:tr>
      <w:tr w:rsidR="00246F3C" w:rsidTr="000E61A5">
        <w:trPr>
          <w:trHeight w:val="432"/>
        </w:trPr>
        <w:tc>
          <w:tcPr>
            <w:tcW w:w="1728" w:type="dxa"/>
            <w:tcBorders>
              <w:top w:val="nil"/>
              <w:left w:val="nil"/>
              <w:bottom w:val="nil"/>
              <w:right w:val="nil"/>
            </w:tcBorders>
            <w:vAlign w:val="center"/>
          </w:tcPr>
          <w:p w:rsidR="00246F3C" w:rsidRPr="0091315F" w:rsidRDefault="00246F3C" w:rsidP="000E61A5">
            <w:pPr>
              <w:rPr>
                <w:rFonts w:ascii="Arial" w:hAnsi="Arial" w:cs="Arial"/>
                <w:sz w:val="20"/>
              </w:rPr>
            </w:pPr>
            <w:r w:rsidRPr="0091315F">
              <w:rPr>
                <w:rFonts w:ascii="Arial" w:hAnsi="Arial" w:cs="Arial"/>
                <w:sz w:val="20"/>
              </w:rPr>
              <w:t>Approved by:</w:t>
            </w:r>
          </w:p>
        </w:tc>
        <w:tc>
          <w:tcPr>
            <w:tcW w:w="4410" w:type="dxa"/>
            <w:tcBorders>
              <w:top w:val="nil"/>
              <w:left w:val="nil"/>
              <w:bottom w:val="single" w:sz="4" w:space="0" w:color="auto"/>
              <w:right w:val="nil"/>
            </w:tcBorders>
            <w:vAlign w:val="center"/>
          </w:tcPr>
          <w:p w:rsidR="00246F3C" w:rsidRPr="0091315F" w:rsidRDefault="00246F3C" w:rsidP="000E61A5">
            <w:pPr>
              <w:pStyle w:val="Heading6"/>
              <w:spacing w:before="0" w:after="0"/>
              <w:rPr>
                <w:rFonts w:ascii="Arial" w:hAnsi="Arial" w:cs="Arial"/>
                <w:b w:val="0"/>
                <w:sz w:val="20"/>
                <w:szCs w:val="20"/>
              </w:rPr>
            </w:pPr>
          </w:p>
        </w:tc>
        <w:tc>
          <w:tcPr>
            <w:tcW w:w="810" w:type="dxa"/>
            <w:tcBorders>
              <w:top w:val="nil"/>
              <w:left w:val="nil"/>
              <w:bottom w:val="nil"/>
              <w:right w:val="nil"/>
            </w:tcBorders>
            <w:vAlign w:val="center"/>
          </w:tcPr>
          <w:p w:rsidR="00246F3C" w:rsidRPr="0091315F" w:rsidRDefault="00246F3C" w:rsidP="000E61A5">
            <w:pPr>
              <w:rPr>
                <w:rFonts w:ascii="Arial" w:hAnsi="Arial" w:cs="Arial"/>
                <w:sz w:val="20"/>
              </w:rPr>
            </w:pPr>
            <w:r w:rsidRPr="0091315F">
              <w:rPr>
                <w:rFonts w:ascii="Arial" w:hAnsi="Arial" w:cs="Arial"/>
                <w:sz w:val="20"/>
              </w:rPr>
              <w:t>Date:</w:t>
            </w:r>
          </w:p>
        </w:tc>
        <w:tc>
          <w:tcPr>
            <w:tcW w:w="2340" w:type="dxa"/>
            <w:tcBorders>
              <w:top w:val="nil"/>
              <w:left w:val="nil"/>
              <w:bottom w:val="single" w:sz="4" w:space="0" w:color="auto"/>
              <w:right w:val="nil"/>
            </w:tcBorders>
            <w:vAlign w:val="center"/>
          </w:tcPr>
          <w:p w:rsidR="00246F3C" w:rsidRPr="0091315F" w:rsidRDefault="00246F3C" w:rsidP="000E61A5">
            <w:pPr>
              <w:rPr>
                <w:rFonts w:ascii="Arial" w:hAnsi="Arial" w:cs="Arial"/>
                <w:sz w:val="20"/>
              </w:rPr>
            </w:pPr>
          </w:p>
        </w:tc>
      </w:tr>
      <w:tr w:rsidR="00246F3C" w:rsidTr="000E61A5">
        <w:trPr>
          <w:trHeight w:val="432"/>
        </w:trPr>
        <w:tc>
          <w:tcPr>
            <w:tcW w:w="1728" w:type="dxa"/>
            <w:tcBorders>
              <w:top w:val="nil"/>
              <w:left w:val="nil"/>
              <w:bottom w:val="nil"/>
              <w:right w:val="nil"/>
            </w:tcBorders>
            <w:vAlign w:val="center"/>
          </w:tcPr>
          <w:p w:rsidR="00246F3C" w:rsidRPr="0091315F" w:rsidRDefault="00246F3C" w:rsidP="000E61A5">
            <w:pPr>
              <w:rPr>
                <w:rFonts w:ascii="Arial" w:hAnsi="Arial" w:cs="Arial"/>
                <w:sz w:val="20"/>
              </w:rPr>
            </w:pPr>
          </w:p>
        </w:tc>
        <w:tc>
          <w:tcPr>
            <w:tcW w:w="4410" w:type="dxa"/>
            <w:tcBorders>
              <w:top w:val="nil"/>
              <w:left w:val="nil"/>
              <w:bottom w:val="nil"/>
              <w:right w:val="nil"/>
            </w:tcBorders>
            <w:vAlign w:val="center"/>
          </w:tcPr>
          <w:p w:rsidR="00246F3C" w:rsidRPr="0091315F" w:rsidRDefault="00246F3C" w:rsidP="000E61A5">
            <w:pPr>
              <w:pStyle w:val="Heading6"/>
              <w:spacing w:before="0" w:after="0"/>
              <w:rPr>
                <w:rFonts w:ascii="Arial" w:hAnsi="Arial" w:cs="Arial"/>
                <w:b w:val="0"/>
                <w:sz w:val="20"/>
                <w:szCs w:val="20"/>
              </w:rPr>
            </w:pPr>
            <w:r w:rsidRPr="0091315F">
              <w:rPr>
                <w:rFonts w:ascii="Arial" w:hAnsi="Arial" w:cs="Arial"/>
                <w:b w:val="0"/>
                <w:sz w:val="20"/>
                <w:szCs w:val="20"/>
              </w:rPr>
              <w:t>Arthur Johnson, Monitoring Coordinator</w:t>
            </w:r>
          </w:p>
        </w:tc>
        <w:tc>
          <w:tcPr>
            <w:tcW w:w="810" w:type="dxa"/>
            <w:tcBorders>
              <w:top w:val="nil"/>
              <w:left w:val="nil"/>
              <w:bottom w:val="nil"/>
              <w:right w:val="nil"/>
            </w:tcBorders>
            <w:vAlign w:val="center"/>
          </w:tcPr>
          <w:p w:rsidR="00246F3C" w:rsidRPr="0091315F" w:rsidRDefault="00246F3C" w:rsidP="000E61A5">
            <w:pPr>
              <w:rPr>
                <w:rFonts w:ascii="Arial" w:hAnsi="Arial" w:cs="Arial"/>
                <w:sz w:val="20"/>
              </w:rPr>
            </w:pPr>
          </w:p>
        </w:tc>
        <w:tc>
          <w:tcPr>
            <w:tcW w:w="2340" w:type="dxa"/>
            <w:tcBorders>
              <w:top w:val="nil"/>
              <w:left w:val="nil"/>
              <w:bottom w:val="nil"/>
              <w:right w:val="nil"/>
            </w:tcBorders>
            <w:vAlign w:val="center"/>
          </w:tcPr>
          <w:p w:rsidR="00246F3C" w:rsidRPr="0091315F" w:rsidRDefault="00246F3C" w:rsidP="000E61A5">
            <w:pPr>
              <w:rPr>
                <w:rFonts w:ascii="Arial" w:hAnsi="Arial" w:cs="Arial"/>
                <w:sz w:val="20"/>
              </w:rPr>
            </w:pPr>
          </w:p>
        </w:tc>
      </w:tr>
      <w:tr w:rsidR="00246F3C" w:rsidTr="000E61A5">
        <w:trPr>
          <w:trHeight w:val="432"/>
        </w:trPr>
        <w:tc>
          <w:tcPr>
            <w:tcW w:w="1728" w:type="dxa"/>
            <w:tcBorders>
              <w:top w:val="nil"/>
              <w:left w:val="nil"/>
              <w:bottom w:val="nil"/>
              <w:right w:val="nil"/>
            </w:tcBorders>
            <w:vAlign w:val="center"/>
          </w:tcPr>
          <w:p w:rsidR="00246F3C" w:rsidRPr="0091315F" w:rsidRDefault="00246F3C" w:rsidP="000E61A5">
            <w:pPr>
              <w:rPr>
                <w:rFonts w:ascii="Arial" w:hAnsi="Arial" w:cs="Arial"/>
                <w:sz w:val="20"/>
              </w:rPr>
            </w:pPr>
            <w:r w:rsidRPr="0091315F">
              <w:rPr>
                <w:rFonts w:ascii="Arial" w:hAnsi="Arial" w:cs="Arial"/>
                <w:sz w:val="20"/>
              </w:rPr>
              <w:t>Approved by:</w:t>
            </w:r>
          </w:p>
        </w:tc>
        <w:tc>
          <w:tcPr>
            <w:tcW w:w="4410" w:type="dxa"/>
            <w:tcBorders>
              <w:top w:val="nil"/>
              <w:left w:val="nil"/>
              <w:bottom w:val="single" w:sz="4" w:space="0" w:color="auto"/>
              <w:right w:val="nil"/>
            </w:tcBorders>
            <w:vAlign w:val="center"/>
          </w:tcPr>
          <w:p w:rsidR="00246F3C" w:rsidRPr="0091315F" w:rsidRDefault="00246F3C" w:rsidP="000E61A5">
            <w:pPr>
              <w:rPr>
                <w:rFonts w:ascii="Arial" w:hAnsi="Arial" w:cs="Arial"/>
                <w:sz w:val="20"/>
              </w:rPr>
            </w:pPr>
          </w:p>
        </w:tc>
        <w:tc>
          <w:tcPr>
            <w:tcW w:w="810" w:type="dxa"/>
            <w:tcBorders>
              <w:top w:val="nil"/>
              <w:left w:val="nil"/>
              <w:bottom w:val="nil"/>
              <w:right w:val="nil"/>
            </w:tcBorders>
            <w:vAlign w:val="center"/>
          </w:tcPr>
          <w:p w:rsidR="00246F3C" w:rsidRPr="0091315F" w:rsidRDefault="00246F3C" w:rsidP="000E61A5">
            <w:pPr>
              <w:rPr>
                <w:rFonts w:ascii="Arial" w:hAnsi="Arial" w:cs="Arial"/>
                <w:sz w:val="20"/>
              </w:rPr>
            </w:pPr>
            <w:r w:rsidRPr="0091315F">
              <w:rPr>
                <w:rFonts w:ascii="Arial" w:hAnsi="Arial" w:cs="Arial"/>
                <w:sz w:val="20"/>
              </w:rPr>
              <w:t xml:space="preserve">Date: </w:t>
            </w:r>
          </w:p>
        </w:tc>
        <w:tc>
          <w:tcPr>
            <w:tcW w:w="2340" w:type="dxa"/>
            <w:tcBorders>
              <w:top w:val="nil"/>
              <w:left w:val="nil"/>
              <w:bottom w:val="nil"/>
              <w:right w:val="nil"/>
            </w:tcBorders>
            <w:vAlign w:val="center"/>
          </w:tcPr>
          <w:p w:rsidR="00246F3C" w:rsidRPr="0091315F" w:rsidRDefault="00246F3C" w:rsidP="000E61A5">
            <w:pPr>
              <w:rPr>
                <w:rFonts w:ascii="Arial" w:hAnsi="Arial" w:cs="Arial"/>
                <w:sz w:val="20"/>
              </w:rPr>
            </w:pPr>
          </w:p>
        </w:tc>
      </w:tr>
      <w:tr w:rsidR="00246F3C" w:rsidTr="000E61A5">
        <w:trPr>
          <w:trHeight w:val="432"/>
        </w:trPr>
        <w:tc>
          <w:tcPr>
            <w:tcW w:w="1728" w:type="dxa"/>
            <w:tcBorders>
              <w:top w:val="nil"/>
              <w:left w:val="nil"/>
              <w:bottom w:val="nil"/>
              <w:right w:val="nil"/>
            </w:tcBorders>
            <w:vAlign w:val="center"/>
          </w:tcPr>
          <w:p w:rsidR="00246F3C" w:rsidRPr="0091315F" w:rsidRDefault="00246F3C" w:rsidP="000E61A5">
            <w:pPr>
              <w:rPr>
                <w:rFonts w:ascii="Arial" w:hAnsi="Arial" w:cs="Arial"/>
                <w:sz w:val="20"/>
              </w:rPr>
            </w:pPr>
          </w:p>
        </w:tc>
        <w:tc>
          <w:tcPr>
            <w:tcW w:w="4410" w:type="dxa"/>
            <w:tcBorders>
              <w:top w:val="nil"/>
              <w:left w:val="nil"/>
              <w:bottom w:val="nil"/>
              <w:right w:val="nil"/>
            </w:tcBorders>
            <w:vAlign w:val="center"/>
          </w:tcPr>
          <w:p w:rsidR="00246F3C" w:rsidRPr="0091315F" w:rsidRDefault="00246F3C" w:rsidP="00246F3C">
            <w:pPr>
              <w:pStyle w:val="Heading6"/>
              <w:spacing w:before="0" w:after="0"/>
              <w:rPr>
                <w:rFonts w:ascii="Arial" w:hAnsi="Arial" w:cs="Arial"/>
                <w:b w:val="0"/>
                <w:iCs/>
                <w:sz w:val="20"/>
                <w:szCs w:val="20"/>
              </w:rPr>
            </w:pPr>
            <w:r>
              <w:rPr>
                <w:rFonts w:ascii="Arial" w:hAnsi="Arial" w:cs="Arial"/>
                <w:b w:val="0"/>
                <w:sz w:val="20"/>
                <w:szCs w:val="20"/>
              </w:rPr>
              <w:t>Kim Groff</w:t>
            </w:r>
            <w:r w:rsidRPr="0091315F">
              <w:rPr>
                <w:rFonts w:ascii="Arial" w:hAnsi="Arial" w:cs="Arial"/>
                <w:b w:val="0"/>
                <w:sz w:val="20"/>
                <w:szCs w:val="20"/>
              </w:rPr>
              <w:t>, Program Supervisor</w:t>
            </w:r>
          </w:p>
        </w:tc>
        <w:tc>
          <w:tcPr>
            <w:tcW w:w="810" w:type="dxa"/>
            <w:tcBorders>
              <w:top w:val="nil"/>
              <w:left w:val="nil"/>
              <w:bottom w:val="nil"/>
              <w:right w:val="nil"/>
            </w:tcBorders>
            <w:vAlign w:val="center"/>
          </w:tcPr>
          <w:p w:rsidR="00246F3C" w:rsidRPr="0091315F" w:rsidRDefault="00246F3C" w:rsidP="000E61A5">
            <w:pPr>
              <w:rPr>
                <w:rFonts w:ascii="Arial" w:hAnsi="Arial" w:cs="Arial"/>
                <w:sz w:val="20"/>
              </w:rPr>
            </w:pPr>
          </w:p>
        </w:tc>
        <w:tc>
          <w:tcPr>
            <w:tcW w:w="2340" w:type="dxa"/>
            <w:tcBorders>
              <w:top w:val="single" w:sz="4" w:space="0" w:color="auto"/>
              <w:left w:val="nil"/>
              <w:bottom w:val="nil"/>
              <w:right w:val="nil"/>
            </w:tcBorders>
            <w:vAlign w:val="center"/>
          </w:tcPr>
          <w:p w:rsidR="00246F3C" w:rsidRPr="0091315F" w:rsidRDefault="00246F3C" w:rsidP="000E61A5">
            <w:pPr>
              <w:rPr>
                <w:rFonts w:ascii="Arial" w:hAnsi="Arial" w:cs="Arial"/>
                <w:sz w:val="20"/>
              </w:rPr>
            </w:pPr>
          </w:p>
        </w:tc>
      </w:tr>
    </w:tbl>
    <w:p w:rsidR="00246F3C" w:rsidRPr="00B42BFD" w:rsidRDefault="00246F3C" w:rsidP="00246F3C">
      <w:pPr>
        <w:pStyle w:val="Heading3"/>
        <w:ind w:firstLine="240"/>
        <w:jc w:val="left"/>
        <w:rPr>
          <w:rFonts w:ascii="Arial" w:hAnsi="Arial" w:cs="Arial"/>
          <w:b w:val="0"/>
          <w:i/>
          <w:sz w:val="20"/>
        </w:rPr>
      </w:pPr>
      <w:bookmarkStart w:id="0" w:name="OLE_LINK6"/>
      <w:r w:rsidRPr="00B42BFD">
        <w:rPr>
          <w:rFonts w:ascii="Arial" w:hAnsi="Arial" w:cs="Arial"/>
          <w:b w:val="0"/>
          <w:i/>
          <w:sz w:val="20"/>
        </w:rPr>
        <w:t xml:space="preserve">* </w:t>
      </w:r>
      <w:proofErr w:type="gramStart"/>
      <w:r w:rsidRPr="00B42BFD">
        <w:rPr>
          <w:rFonts w:ascii="Arial" w:hAnsi="Arial" w:cs="Arial"/>
          <w:b w:val="0"/>
          <w:i/>
          <w:sz w:val="20"/>
        </w:rPr>
        <w:t>see</w:t>
      </w:r>
      <w:proofErr w:type="gramEnd"/>
      <w:r w:rsidRPr="00B42BFD">
        <w:rPr>
          <w:rFonts w:ascii="Arial" w:hAnsi="Arial" w:cs="Arial"/>
          <w:b w:val="0"/>
          <w:i/>
          <w:sz w:val="20"/>
        </w:rPr>
        <w:t xml:space="preserve"> </w:t>
      </w:r>
      <w:proofErr w:type="spellStart"/>
      <w:r w:rsidRPr="00B42BFD">
        <w:rPr>
          <w:rFonts w:ascii="Arial" w:hAnsi="Arial" w:cs="Arial"/>
          <w:b w:val="0"/>
          <w:i/>
          <w:sz w:val="20"/>
        </w:rPr>
        <w:t>pdf</w:t>
      </w:r>
      <w:proofErr w:type="spellEnd"/>
      <w:r w:rsidRPr="00B42BFD">
        <w:rPr>
          <w:rFonts w:ascii="Arial" w:hAnsi="Arial" w:cs="Arial"/>
          <w:b w:val="0"/>
          <w:i/>
          <w:sz w:val="20"/>
        </w:rPr>
        <w:t xml:space="preserve"> version for valid signatures</w:t>
      </w:r>
    </w:p>
    <w:bookmarkEnd w:id="0"/>
    <w:p w:rsidR="00246F3C" w:rsidRDefault="00246F3C" w:rsidP="00246F3C"/>
    <w:p w:rsidR="00246F3C" w:rsidRDefault="00246F3C" w:rsidP="00246F3C">
      <w:pPr>
        <w:pStyle w:val="Heading1"/>
        <w:rPr>
          <w:rFonts w:cs="Arial"/>
        </w:rPr>
      </w:pPr>
    </w:p>
    <w:p w:rsidR="00246F3C" w:rsidRDefault="00246F3C" w:rsidP="00246F3C">
      <w:pPr>
        <w:pStyle w:val="Heading1"/>
        <w:rPr>
          <w:rFonts w:cs="Arial"/>
        </w:rPr>
      </w:pPr>
    </w:p>
    <w:p w:rsidR="00246F3C" w:rsidRDefault="00246F3C" w:rsidP="00246F3C"/>
    <w:p w:rsidR="00246F3C" w:rsidRPr="00B42E61" w:rsidRDefault="00246F3C" w:rsidP="00246F3C"/>
    <w:p w:rsidR="00246F3C" w:rsidRDefault="00246F3C" w:rsidP="00246F3C">
      <w:pPr>
        <w:pStyle w:val="Heading1"/>
        <w:rPr>
          <w:rFonts w:cs="Arial"/>
        </w:rPr>
      </w:pPr>
    </w:p>
    <w:p w:rsidR="00246F3C" w:rsidRDefault="00246F3C" w:rsidP="00246F3C">
      <w:pPr>
        <w:pStyle w:val="Heading1"/>
        <w:rPr>
          <w:rFonts w:cs="Arial"/>
        </w:rPr>
      </w:pPr>
    </w:p>
    <w:p w:rsidR="00246F3C" w:rsidRPr="00F23D87" w:rsidRDefault="00246F3C" w:rsidP="00246F3C">
      <w:pPr>
        <w:pStyle w:val="Heading1"/>
        <w:rPr>
          <w:rFonts w:cs="Arial"/>
        </w:rPr>
      </w:pPr>
      <w:r w:rsidRPr="00F23D87">
        <w:rPr>
          <w:rFonts w:cs="Arial"/>
        </w:rPr>
        <w:t>List of Revisions</w:t>
      </w:r>
    </w:p>
    <w:p w:rsidR="00246F3C" w:rsidRPr="0017651D" w:rsidRDefault="00246F3C" w:rsidP="00246F3C"/>
    <w:p w:rsidR="00246F3C" w:rsidRDefault="00246F3C" w:rsidP="00246F3C"/>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5354"/>
        <w:gridCol w:w="1587"/>
      </w:tblGrid>
      <w:tr w:rsidR="00246F3C" w:rsidTr="000E61A5">
        <w:trPr>
          <w:trHeight w:val="360"/>
        </w:trPr>
        <w:tc>
          <w:tcPr>
            <w:tcW w:w="1710" w:type="dxa"/>
            <w:shd w:val="clear" w:color="auto" w:fill="C0C0C0"/>
            <w:vAlign w:val="center"/>
          </w:tcPr>
          <w:p w:rsidR="00246F3C" w:rsidRPr="00B42E61" w:rsidRDefault="00246F3C" w:rsidP="000E61A5">
            <w:pPr>
              <w:pStyle w:val="Heading1"/>
              <w:rPr>
                <w:b w:val="0"/>
                <w:u w:val="none"/>
              </w:rPr>
            </w:pPr>
            <w:r w:rsidRPr="00B42E61">
              <w:rPr>
                <w:b w:val="0"/>
                <w:u w:val="none"/>
              </w:rPr>
              <w:t>Revision Date</w:t>
            </w:r>
          </w:p>
        </w:tc>
        <w:tc>
          <w:tcPr>
            <w:tcW w:w="5354" w:type="dxa"/>
            <w:shd w:val="clear" w:color="auto" w:fill="C0C0C0"/>
            <w:vAlign w:val="center"/>
          </w:tcPr>
          <w:p w:rsidR="00246F3C" w:rsidRPr="00B42E61" w:rsidRDefault="00246F3C" w:rsidP="000E61A5">
            <w:pPr>
              <w:pStyle w:val="Heading1"/>
              <w:rPr>
                <w:b w:val="0"/>
                <w:u w:val="none"/>
              </w:rPr>
            </w:pPr>
            <w:r w:rsidRPr="00B42E61">
              <w:rPr>
                <w:b w:val="0"/>
                <w:u w:val="none"/>
              </w:rPr>
              <w:t>Revision</w:t>
            </w:r>
          </w:p>
        </w:tc>
        <w:tc>
          <w:tcPr>
            <w:tcW w:w="1587" w:type="dxa"/>
            <w:shd w:val="clear" w:color="auto" w:fill="C0C0C0"/>
            <w:vAlign w:val="center"/>
          </w:tcPr>
          <w:p w:rsidR="00246F3C" w:rsidRPr="00B42E61" w:rsidRDefault="00246F3C" w:rsidP="000E61A5">
            <w:pPr>
              <w:pStyle w:val="Heading1"/>
              <w:rPr>
                <w:b w:val="0"/>
                <w:u w:val="none"/>
              </w:rPr>
            </w:pPr>
            <w:r w:rsidRPr="00B42E61">
              <w:rPr>
                <w:b w:val="0"/>
                <w:u w:val="none"/>
              </w:rPr>
              <w:t>Pages #s</w:t>
            </w:r>
          </w:p>
        </w:tc>
      </w:tr>
      <w:tr w:rsidR="00246F3C" w:rsidTr="000E61A5">
        <w:trPr>
          <w:trHeight w:val="360"/>
        </w:trPr>
        <w:tc>
          <w:tcPr>
            <w:tcW w:w="1710" w:type="dxa"/>
            <w:vAlign w:val="center"/>
          </w:tcPr>
          <w:p w:rsidR="00246F3C" w:rsidRPr="00B42E61" w:rsidRDefault="00246F3C" w:rsidP="00246F3C">
            <w:pPr>
              <w:pStyle w:val="Heading1"/>
              <w:jc w:val="left"/>
              <w:rPr>
                <w:b w:val="0"/>
                <w:bCs/>
                <w:u w:val="none"/>
              </w:rPr>
            </w:pPr>
            <w:r>
              <w:rPr>
                <w:b w:val="0"/>
                <w:bCs/>
                <w:u w:val="none"/>
              </w:rPr>
              <w:t>Sept. 2015</w:t>
            </w:r>
          </w:p>
        </w:tc>
        <w:tc>
          <w:tcPr>
            <w:tcW w:w="5354" w:type="dxa"/>
            <w:vAlign w:val="center"/>
          </w:tcPr>
          <w:p w:rsidR="00246F3C" w:rsidRPr="00B42E61" w:rsidRDefault="00246F3C" w:rsidP="000E61A5">
            <w:pPr>
              <w:pStyle w:val="Heading1"/>
              <w:jc w:val="left"/>
              <w:rPr>
                <w:b w:val="0"/>
                <w:bCs/>
                <w:u w:val="none"/>
              </w:rPr>
            </w:pPr>
            <w:r w:rsidRPr="00B42E61">
              <w:rPr>
                <w:b w:val="0"/>
                <w:bCs/>
                <w:u w:val="none"/>
              </w:rPr>
              <w:t>---</w:t>
            </w:r>
          </w:p>
        </w:tc>
        <w:tc>
          <w:tcPr>
            <w:tcW w:w="1587" w:type="dxa"/>
            <w:vAlign w:val="center"/>
          </w:tcPr>
          <w:p w:rsidR="00246F3C" w:rsidRPr="00B42E61" w:rsidRDefault="00246F3C" w:rsidP="000E61A5">
            <w:pPr>
              <w:pStyle w:val="Heading1"/>
              <w:jc w:val="left"/>
              <w:rPr>
                <w:b w:val="0"/>
                <w:bCs/>
                <w:u w:val="none"/>
              </w:rPr>
            </w:pPr>
            <w:r w:rsidRPr="00B42E61">
              <w:rPr>
                <w:b w:val="0"/>
                <w:bCs/>
                <w:u w:val="none"/>
              </w:rPr>
              <w:t>---</w:t>
            </w:r>
          </w:p>
        </w:tc>
      </w:tr>
      <w:tr w:rsidR="00246F3C" w:rsidTr="000E61A5">
        <w:trPr>
          <w:trHeight w:val="360"/>
        </w:trPr>
        <w:tc>
          <w:tcPr>
            <w:tcW w:w="1710" w:type="dxa"/>
            <w:vAlign w:val="center"/>
          </w:tcPr>
          <w:p w:rsidR="00246F3C" w:rsidRPr="00B42E61" w:rsidRDefault="00FB3056" w:rsidP="000E61A5">
            <w:pPr>
              <w:pStyle w:val="Heading1"/>
              <w:jc w:val="left"/>
              <w:rPr>
                <w:b w:val="0"/>
                <w:bCs/>
                <w:u w:val="none"/>
              </w:rPr>
            </w:pPr>
            <w:r>
              <w:rPr>
                <w:b w:val="0"/>
                <w:bCs/>
                <w:u w:val="none"/>
              </w:rPr>
              <w:t>June 2017</w:t>
            </w:r>
          </w:p>
        </w:tc>
        <w:tc>
          <w:tcPr>
            <w:tcW w:w="5354" w:type="dxa"/>
            <w:vAlign w:val="center"/>
          </w:tcPr>
          <w:p w:rsidR="00246F3C" w:rsidRPr="00B42E61" w:rsidRDefault="00FB3056" w:rsidP="000E61A5">
            <w:pPr>
              <w:pStyle w:val="Heading1"/>
              <w:jc w:val="left"/>
              <w:rPr>
                <w:b w:val="0"/>
                <w:bCs/>
                <w:u w:val="none"/>
              </w:rPr>
            </w:pPr>
            <w:r>
              <w:rPr>
                <w:b w:val="0"/>
                <w:bCs/>
                <w:u w:val="none"/>
              </w:rPr>
              <w:t>Added references, time correction procedures…</w:t>
            </w:r>
          </w:p>
        </w:tc>
        <w:tc>
          <w:tcPr>
            <w:tcW w:w="1587" w:type="dxa"/>
            <w:vAlign w:val="center"/>
          </w:tcPr>
          <w:p w:rsidR="00246F3C" w:rsidRPr="00B42E61" w:rsidRDefault="00246F3C" w:rsidP="000E61A5">
            <w:pPr>
              <w:pStyle w:val="Heading1"/>
              <w:jc w:val="left"/>
              <w:rPr>
                <w:b w:val="0"/>
                <w:bCs/>
                <w:u w:val="none"/>
              </w:rPr>
            </w:pPr>
          </w:p>
        </w:tc>
      </w:tr>
      <w:tr w:rsidR="00246F3C" w:rsidTr="000E61A5">
        <w:trPr>
          <w:trHeight w:val="360"/>
        </w:trPr>
        <w:tc>
          <w:tcPr>
            <w:tcW w:w="1710" w:type="dxa"/>
            <w:vAlign w:val="center"/>
          </w:tcPr>
          <w:p w:rsidR="00246F3C" w:rsidRPr="00B42E61" w:rsidRDefault="00246F3C" w:rsidP="000E61A5">
            <w:pPr>
              <w:pStyle w:val="Heading1"/>
              <w:jc w:val="left"/>
              <w:rPr>
                <w:b w:val="0"/>
                <w:bCs/>
                <w:u w:val="none"/>
              </w:rPr>
            </w:pPr>
          </w:p>
        </w:tc>
        <w:tc>
          <w:tcPr>
            <w:tcW w:w="5354" w:type="dxa"/>
            <w:vAlign w:val="center"/>
          </w:tcPr>
          <w:p w:rsidR="00246F3C" w:rsidRPr="00B42E61" w:rsidRDefault="00246F3C" w:rsidP="000E61A5">
            <w:pPr>
              <w:pStyle w:val="Heading1"/>
              <w:jc w:val="left"/>
              <w:rPr>
                <w:b w:val="0"/>
                <w:bCs/>
                <w:u w:val="none"/>
              </w:rPr>
            </w:pPr>
          </w:p>
        </w:tc>
        <w:tc>
          <w:tcPr>
            <w:tcW w:w="1587" w:type="dxa"/>
            <w:vAlign w:val="center"/>
          </w:tcPr>
          <w:p w:rsidR="00246F3C" w:rsidRPr="00B42E61" w:rsidRDefault="00246F3C" w:rsidP="000E61A5">
            <w:pPr>
              <w:pStyle w:val="Heading1"/>
              <w:jc w:val="left"/>
              <w:rPr>
                <w:b w:val="0"/>
                <w:bCs/>
                <w:u w:val="none"/>
              </w:rPr>
            </w:pPr>
          </w:p>
        </w:tc>
      </w:tr>
      <w:tr w:rsidR="00246F3C" w:rsidTr="000E61A5">
        <w:trPr>
          <w:trHeight w:val="360"/>
        </w:trPr>
        <w:tc>
          <w:tcPr>
            <w:tcW w:w="1710" w:type="dxa"/>
            <w:vAlign w:val="center"/>
          </w:tcPr>
          <w:p w:rsidR="00246F3C" w:rsidRPr="00B42E61" w:rsidRDefault="00246F3C" w:rsidP="000E61A5">
            <w:pPr>
              <w:pStyle w:val="Heading1"/>
              <w:jc w:val="left"/>
              <w:rPr>
                <w:b w:val="0"/>
                <w:bCs/>
                <w:u w:val="none"/>
              </w:rPr>
            </w:pPr>
          </w:p>
        </w:tc>
        <w:tc>
          <w:tcPr>
            <w:tcW w:w="5354" w:type="dxa"/>
            <w:vAlign w:val="center"/>
          </w:tcPr>
          <w:p w:rsidR="00246F3C" w:rsidRPr="00B42E61" w:rsidRDefault="00246F3C" w:rsidP="000E61A5">
            <w:pPr>
              <w:pStyle w:val="Heading1"/>
              <w:jc w:val="left"/>
              <w:rPr>
                <w:b w:val="0"/>
                <w:bCs/>
                <w:u w:val="none"/>
              </w:rPr>
            </w:pPr>
          </w:p>
        </w:tc>
        <w:tc>
          <w:tcPr>
            <w:tcW w:w="1587" w:type="dxa"/>
            <w:vAlign w:val="center"/>
          </w:tcPr>
          <w:p w:rsidR="00246F3C" w:rsidRPr="00B42E61" w:rsidRDefault="00246F3C" w:rsidP="000E61A5">
            <w:pPr>
              <w:pStyle w:val="Heading1"/>
              <w:jc w:val="left"/>
              <w:rPr>
                <w:b w:val="0"/>
                <w:bCs/>
                <w:u w:val="none"/>
              </w:rPr>
            </w:pPr>
          </w:p>
        </w:tc>
      </w:tr>
      <w:tr w:rsidR="00246F3C" w:rsidTr="000E61A5">
        <w:trPr>
          <w:trHeight w:val="360"/>
        </w:trPr>
        <w:tc>
          <w:tcPr>
            <w:tcW w:w="1710" w:type="dxa"/>
            <w:vAlign w:val="center"/>
          </w:tcPr>
          <w:p w:rsidR="00246F3C" w:rsidRPr="00B42E61" w:rsidRDefault="00246F3C" w:rsidP="000E61A5">
            <w:pPr>
              <w:pStyle w:val="Heading1"/>
              <w:jc w:val="left"/>
              <w:rPr>
                <w:b w:val="0"/>
                <w:bCs/>
                <w:u w:val="none"/>
              </w:rPr>
            </w:pPr>
          </w:p>
        </w:tc>
        <w:tc>
          <w:tcPr>
            <w:tcW w:w="5354" w:type="dxa"/>
            <w:vAlign w:val="center"/>
          </w:tcPr>
          <w:p w:rsidR="00246F3C" w:rsidRPr="00B42E61" w:rsidRDefault="00246F3C" w:rsidP="000E61A5">
            <w:pPr>
              <w:pStyle w:val="Heading1"/>
              <w:jc w:val="left"/>
              <w:rPr>
                <w:b w:val="0"/>
                <w:bCs/>
                <w:u w:val="none"/>
              </w:rPr>
            </w:pPr>
          </w:p>
        </w:tc>
        <w:tc>
          <w:tcPr>
            <w:tcW w:w="1587" w:type="dxa"/>
            <w:vAlign w:val="center"/>
          </w:tcPr>
          <w:p w:rsidR="00246F3C" w:rsidRPr="00B42E61" w:rsidRDefault="00246F3C" w:rsidP="000E61A5">
            <w:pPr>
              <w:pStyle w:val="Heading1"/>
              <w:jc w:val="left"/>
              <w:rPr>
                <w:b w:val="0"/>
                <w:bCs/>
                <w:u w:val="none"/>
              </w:rPr>
            </w:pPr>
          </w:p>
        </w:tc>
      </w:tr>
      <w:tr w:rsidR="00246F3C" w:rsidTr="000E61A5">
        <w:trPr>
          <w:trHeight w:val="360"/>
        </w:trPr>
        <w:tc>
          <w:tcPr>
            <w:tcW w:w="1710" w:type="dxa"/>
            <w:vAlign w:val="center"/>
          </w:tcPr>
          <w:p w:rsidR="00246F3C" w:rsidRPr="00B42E61" w:rsidRDefault="00246F3C" w:rsidP="000E61A5">
            <w:pPr>
              <w:pStyle w:val="Heading1"/>
              <w:jc w:val="left"/>
              <w:rPr>
                <w:b w:val="0"/>
                <w:bCs/>
                <w:u w:val="none"/>
              </w:rPr>
            </w:pPr>
          </w:p>
        </w:tc>
        <w:tc>
          <w:tcPr>
            <w:tcW w:w="5354" w:type="dxa"/>
            <w:vAlign w:val="center"/>
          </w:tcPr>
          <w:p w:rsidR="00246F3C" w:rsidRPr="00B42E61" w:rsidRDefault="00246F3C" w:rsidP="000E61A5">
            <w:pPr>
              <w:pStyle w:val="Heading1"/>
              <w:jc w:val="left"/>
              <w:rPr>
                <w:b w:val="0"/>
                <w:bCs/>
                <w:u w:val="none"/>
              </w:rPr>
            </w:pPr>
          </w:p>
        </w:tc>
        <w:tc>
          <w:tcPr>
            <w:tcW w:w="1587" w:type="dxa"/>
            <w:vAlign w:val="center"/>
          </w:tcPr>
          <w:p w:rsidR="00246F3C" w:rsidRPr="00B42E61" w:rsidRDefault="00246F3C" w:rsidP="000E61A5">
            <w:pPr>
              <w:pStyle w:val="Heading1"/>
              <w:jc w:val="left"/>
              <w:rPr>
                <w:b w:val="0"/>
                <w:bCs/>
                <w:u w:val="none"/>
              </w:rPr>
            </w:pPr>
          </w:p>
        </w:tc>
      </w:tr>
      <w:tr w:rsidR="00246F3C" w:rsidTr="000E61A5">
        <w:trPr>
          <w:trHeight w:val="360"/>
        </w:trPr>
        <w:tc>
          <w:tcPr>
            <w:tcW w:w="1710" w:type="dxa"/>
            <w:vAlign w:val="center"/>
          </w:tcPr>
          <w:p w:rsidR="00246F3C" w:rsidRPr="00B42E61" w:rsidRDefault="00246F3C" w:rsidP="000E61A5">
            <w:pPr>
              <w:pStyle w:val="Heading1"/>
              <w:jc w:val="left"/>
              <w:rPr>
                <w:b w:val="0"/>
                <w:bCs/>
                <w:u w:val="none"/>
              </w:rPr>
            </w:pPr>
          </w:p>
        </w:tc>
        <w:tc>
          <w:tcPr>
            <w:tcW w:w="5354" w:type="dxa"/>
            <w:vAlign w:val="center"/>
          </w:tcPr>
          <w:p w:rsidR="00246F3C" w:rsidRPr="00B42E61" w:rsidRDefault="00246F3C" w:rsidP="000E61A5">
            <w:pPr>
              <w:pStyle w:val="Heading1"/>
              <w:jc w:val="left"/>
              <w:rPr>
                <w:b w:val="0"/>
                <w:bCs/>
                <w:u w:val="none"/>
              </w:rPr>
            </w:pPr>
          </w:p>
        </w:tc>
        <w:tc>
          <w:tcPr>
            <w:tcW w:w="1587" w:type="dxa"/>
            <w:vAlign w:val="center"/>
          </w:tcPr>
          <w:p w:rsidR="00246F3C" w:rsidRPr="00B42E61" w:rsidRDefault="00246F3C" w:rsidP="000E61A5">
            <w:pPr>
              <w:pStyle w:val="Heading1"/>
              <w:jc w:val="left"/>
              <w:rPr>
                <w:b w:val="0"/>
                <w:bCs/>
                <w:u w:val="none"/>
              </w:rPr>
            </w:pPr>
          </w:p>
        </w:tc>
      </w:tr>
    </w:tbl>
    <w:p w:rsidR="00246F3C" w:rsidRDefault="00246F3C" w:rsidP="00246F3C">
      <w:pPr>
        <w:tabs>
          <w:tab w:val="left" w:pos="720"/>
        </w:tabs>
        <w:rPr>
          <w:b/>
        </w:rPr>
      </w:pPr>
      <w:r>
        <w:br w:type="page"/>
      </w:r>
    </w:p>
    <w:p w:rsidR="00246F3C" w:rsidRDefault="00246F3C" w:rsidP="00246F3C">
      <w:pPr>
        <w:tabs>
          <w:tab w:val="left" w:pos="720"/>
        </w:tabs>
        <w:rPr>
          <w:b/>
        </w:rPr>
      </w:pPr>
    </w:p>
    <w:p w:rsidR="00246F3C" w:rsidRPr="000E61A5" w:rsidRDefault="00246F3C" w:rsidP="00246F3C">
      <w:pPr>
        <w:tabs>
          <w:tab w:val="left" w:pos="720"/>
        </w:tabs>
      </w:pPr>
      <w:r w:rsidRPr="000E61A5">
        <w:rPr>
          <w:b/>
        </w:rPr>
        <w:t>1.0</w:t>
      </w:r>
      <w:r w:rsidRPr="000E61A5">
        <w:rPr>
          <w:b/>
        </w:rPr>
        <w:tab/>
        <w:t>SCOPE AND APPLICATION</w:t>
      </w:r>
    </w:p>
    <w:p w:rsidR="00246F3C" w:rsidRPr="000E61A5" w:rsidRDefault="00246F3C" w:rsidP="00246F3C">
      <w:pPr>
        <w:rPr>
          <w:b/>
          <w:sz w:val="22"/>
        </w:rPr>
      </w:pPr>
    </w:p>
    <w:p w:rsidR="000E61A5" w:rsidRDefault="00246F3C" w:rsidP="00246F3C">
      <w:pPr>
        <w:rPr>
          <w:sz w:val="22"/>
        </w:rPr>
      </w:pPr>
      <w:r w:rsidRPr="000E61A5">
        <w:rPr>
          <w:sz w:val="22"/>
        </w:rPr>
        <w:t>Automated, cost-efficient, continuous</w:t>
      </w:r>
      <w:r w:rsidR="000E61A5">
        <w:rPr>
          <w:sz w:val="22"/>
        </w:rPr>
        <w:t xml:space="preserve"> </w:t>
      </w:r>
      <w:proofErr w:type="spellStart"/>
      <w:r w:rsidR="000E61A5">
        <w:rPr>
          <w:sz w:val="22"/>
        </w:rPr>
        <w:t>conducutivity</w:t>
      </w:r>
      <w:proofErr w:type="spellEnd"/>
      <w:r w:rsidRPr="000E61A5">
        <w:rPr>
          <w:sz w:val="22"/>
        </w:rPr>
        <w:t xml:space="preserve"> data </w:t>
      </w:r>
      <w:r w:rsidR="000E61A5">
        <w:rPr>
          <w:sz w:val="22"/>
        </w:rPr>
        <w:t>are collected as a general indicator of pollution levels and to estimate chloride levels in water using regression equations.</w:t>
      </w:r>
    </w:p>
    <w:p w:rsidR="000E61A5" w:rsidRDefault="000E61A5" w:rsidP="00246F3C">
      <w:pPr>
        <w:rPr>
          <w:sz w:val="22"/>
        </w:rPr>
      </w:pPr>
    </w:p>
    <w:p w:rsidR="00246F3C" w:rsidRPr="000E61A5" w:rsidRDefault="00246F3C" w:rsidP="00246F3C">
      <w:pPr>
        <w:rPr>
          <w:b/>
          <w:sz w:val="22"/>
        </w:rPr>
      </w:pPr>
      <w:r w:rsidRPr="000E61A5">
        <w:rPr>
          <w:sz w:val="22"/>
        </w:rPr>
        <w:t xml:space="preserve">This SOP </w:t>
      </w:r>
      <w:r w:rsidR="000E61A5">
        <w:rPr>
          <w:sz w:val="22"/>
        </w:rPr>
        <w:t xml:space="preserve">addresses the procedures in use by WPP for </w:t>
      </w:r>
      <w:r w:rsidRPr="000E61A5">
        <w:rPr>
          <w:sz w:val="22"/>
        </w:rPr>
        <w:t xml:space="preserve">continuous </w:t>
      </w:r>
      <w:r w:rsidR="000E61A5">
        <w:rPr>
          <w:sz w:val="22"/>
        </w:rPr>
        <w:t xml:space="preserve">conductivity </w:t>
      </w:r>
      <w:r w:rsidRPr="000E61A5">
        <w:rPr>
          <w:sz w:val="22"/>
        </w:rPr>
        <w:t>deployment</w:t>
      </w:r>
      <w:r w:rsidR="000E61A5">
        <w:rPr>
          <w:sz w:val="22"/>
        </w:rPr>
        <w:t>s</w:t>
      </w:r>
      <w:r w:rsidRPr="000E61A5">
        <w:rPr>
          <w:sz w:val="22"/>
        </w:rPr>
        <w:t xml:space="preserve"> in streams and rivers.</w:t>
      </w:r>
    </w:p>
    <w:p w:rsidR="00246F3C" w:rsidRPr="000E61A5" w:rsidRDefault="00246F3C" w:rsidP="00246F3C">
      <w:pPr>
        <w:rPr>
          <w:b/>
        </w:rPr>
      </w:pPr>
    </w:p>
    <w:p w:rsidR="00246F3C" w:rsidRPr="000E61A5" w:rsidRDefault="00246F3C" w:rsidP="00246F3C">
      <w:pPr>
        <w:rPr>
          <w:b/>
        </w:rPr>
      </w:pPr>
      <w:r w:rsidRPr="000E61A5">
        <w:rPr>
          <w:b/>
        </w:rPr>
        <w:t>2.0</w:t>
      </w:r>
      <w:r w:rsidRPr="000E61A5">
        <w:rPr>
          <w:b/>
        </w:rPr>
        <w:tab/>
        <w:t>SUMMARY</w:t>
      </w:r>
    </w:p>
    <w:p w:rsidR="00246F3C" w:rsidRPr="000E61A5" w:rsidRDefault="00246F3C" w:rsidP="00246F3C">
      <w:pPr>
        <w:rPr>
          <w:bCs/>
          <w:sz w:val="22"/>
        </w:rPr>
      </w:pPr>
    </w:p>
    <w:p w:rsidR="00246F3C" w:rsidRPr="000E61A5" w:rsidRDefault="000E61A5" w:rsidP="00246F3C">
      <w:pPr>
        <w:rPr>
          <w:bCs/>
          <w:sz w:val="22"/>
        </w:rPr>
      </w:pPr>
      <w:r>
        <w:rPr>
          <w:bCs/>
          <w:sz w:val="22"/>
        </w:rPr>
        <w:t xml:space="preserve">The majority of procedures are specified in the manufacturer instructions (Appendix A).  In addition, WPP-specific </w:t>
      </w:r>
      <w:r w:rsidR="00246F3C" w:rsidRPr="000E61A5">
        <w:rPr>
          <w:bCs/>
          <w:sz w:val="22"/>
        </w:rPr>
        <w:t xml:space="preserve">procedures are </w:t>
      </w:r>
      <w:r>
        <w:rPr>
          <w:bCs/>
          <w:sz w:val="22"/>
        </w:rPr>
        <w:t xml:space="preserve">also </w:t>
      </w:r>
      <w:r w:rsidR="00246F3C" w:rsidRPr="000E61A5">
        <w:rPr>
          <w:bCs/>
          <w:sz w:val="22"/>
        </w:rPr>
        <w:t>provided.</w:t>
      </w:r>
    </w:p>
    <w:p w:rsidR="00246F3C" w:rsidRPr="000E61A5" w:rsidRDefault="00246F3C" w:rsidP="00246F3C">
      <w:pPr>
        <w:rPr>
          <w:b/>
        </w:rPr>
      </w:pPr>
    </w:p>
    <w:p w:rsidR="00246F3C" w:rsidRPr="000E61A5" w:rsidRDefault="00246F3C" w:rsidP="00246F3C">
      <w:r w:rsidRPr="000E61A5">
        <w:rPr>
          <w:b/>
        </w:rPr>
        <w:t>3.0</w:t>
      </w:r>
      <w:r w:rsidRPr="000E61A5">
        <w:rPr>
          <w:b/>
        </w:rPr>
        <w:tab/>
        <w:t>SAFETY CONSIDERATIONS</w:t>
      </w:r>
    </w:p>
    <w:p w:rsidR="00246F3C" w:rsidRPr="000E61A5" w:rsidRDefault="00246F3C" w:rsidP="00246F3C">
      <w:pPr>
        <w:tabs>
          <w:tab w:val="left" w:pos="720"/>
        </w:tabs>
        <w:rPr>
          <w:bCs/>
          <w:sz w:val="22"/>
        </w:rPr>
      </w:pPr>
    </w:p>
    <w:p w:rsidR="00246F3C" w:rsidRPr="000E61A5" w:rsidRDefault="00246F3C" w:rsidP="00246F3C">
      <w:pPr>
        <w:tabs>
          <w:tab w:val="left" w:pos="720"/>
        </w:tabs>
        <w:rPr>
          <w:bCs/>
          <w:sz w:val="22"/>
        </w:rPr>
      </w:pPr>
      <w:r w:rsidRPr="000E61A5">
        <w:rPr>
          <w:bCs/>
          <w:sz w:val="22"/>
        </w:rPr>
        <w:t xml:space="preserve">There are no SOP-specific, additional safety “rules”, other than to </w:t>
      </w:r>
      <w:r w:rsidR="000E61A5">
        <w:rPr>
          <w:bCs/>
          <w:sz w:val="22"/>
        </w:rPr>
        <w:t xml:space="preserve">apply </w:t>
      </w:r>
      <w:r w:rsidRPr="000E61A5">
        <w:rPr>
          <w:bCs/>
          <w:sz w:val="22"/>
        </w:rPr>
        <w:t xml:space="preserve">standard </w:t>
      </w:r>
      <w:r w:rsidR="000E61A5">
        <w:rPr>
          <w:bCs/>
          <w:sz w:val="22"/>
        </w:rPr>
        <w:t xml:space="preserve">safety </w:t>
      </w:r>
      <w:r w:rsidRPr="000E61A5">
        <w:rPr>
          <w:bCs/>
          <w:sz w:val="22"/>
        </w:rPr>
        <w:t xml:space="preserve">protocols </w:t>
      </w:r>
      <w:r w:rsidR="000E61A5">
        <w:rPr>
          <w:bCs/>
          <w:sz w:val="22"/>
        </w:rPr>
        <w:t>for all field work</w:t>
      </w:r>
      <w:r w:rsidRPr="000E61A5">
        <w:rPr>
          <w:bCs/>
          <w:sz w:val="22"/>
        </w:rPr>
        <w:t xml:space="preserve">. </w:t>
      </w:r>
    </w:p>
    <w:p w:rsidR="00246F3C" w:rsidRPr="000E61A5" w:rsidRDefault="00246F3C" w:rsidP="00246F3C">
      <w:pPr>
        <w:tabs>
          <w:tab w:val="left" w:pos="720"/>
        </w:tabs>
        <w:rPr>
          <w:b/>
        </w:rPr>
      </w:pPr>
    </w:p>
    <w:p w:rsidR="00246F3C" w:rsidRPr="000E61A5" w:rsidRDefault="00246F3C" w:rsidP="00246F3C">
      <w:pPr>
        <w:tabs>
          <w:tab w:val="left" w:pos="720"/>
        </w:tabs>
      </w:pPr>
      <w:r w:rsidRPr="000E61A5">
        <w:rPr>
          <w:b/>
        </w:rPr>
        <w:t>4.0</w:t>
      </w:r>
      <w:r w:rsidRPr="000E61A5">
        <w:rPr>
          <w:b/>
        </w:rPr>
        <w:tab/>
        <w:t>SAMPLE COLLECTION, PRESERVATION AND HANDLING</w:t>
      </w:r>
    </w:p>
    <w:p w:rsidR="00246F3C" w:rsidRPr="000E61A5" w:rsidRDefault="00246F3C" w:rsidP="00246F3C">
      <w:pPr>
        <w:tabs>
          <w:tab w:val="left" w:pos="720"/>
        </w:tabs>
        <w:rPr>
          <w:bCs/>
          <w:sz w:val="22"/>
        </w:rPr>
      </w:pPr>
    </w:p>
    <w:p w:rsidR="00246F3C" w:rsidRDefault="000E61A5" w:rsidP="00246F3C">
      <w:pPr>
        <w:tabs>
          <w:tab w:val="left" w:pos="720"/>
        </w:tabs>
        <w:rPr>
          <w:bCs/>
          <w:sz w:val="22"/>
        </w:rPr>
      </w:pPr>
      <w:proofErr w:type="gramStart"/>
      <w:r>
        <w:rPr>
          <w:bCs/>
          <w:sz w:val="22"/>
        </w:rPr>
        <w:t xml:space="preserve">In cases where </w:t>
      </w:r>
      <w:r w:rsidR="00246F3C" w:rsidRPr="000E61A5">
        <w:rPr>
          <w:bCs/>
          <w:sz w:val="22"/>
        </w:rPr>
        <w:t xml:space="preserve">water samples are collected </w:t>
      </w:r>
      <w:r>
        <w:rPr>
          <w:bCs/>
          <w:sz w:val="22"/>
        </w:rPr>
        <w:t>for QC purposes or to establish/maintain correlation data (e.g., chloride), follow WPP standard protocols for water sample collection (CN 1.24).</w:t>
      </w:r>
      <w:proofErr w:type="gramEnd"/>
      <w:r>
        <w:rPr>
          <w:bCs/>
          <w:sz w:val="22"/>
        </w:rPr>
        <w:t xml:space="preserve">  </w:t>
      </w:r>
      <w:proofErr w:type="spellStart"/>
      <w:r>
        <w:rPr>
          <w:bCs/>
          <w:sz w:val="22"/>
        </w:rPr>
        <w:t>Samplers.should</w:t>
      </w:r>
      <w:proofErr w:type="spellEnd"/>
      <w:r>
        <w:rPr>
          <w:bCs/>
          <w:sz w:val="22"/>
        </w:rPr>
        <w:t xml:space="preserve"> </w:t>
      </w:r>
      <w:proofErr w:type="gramStart"/>
      <w:r>
        <w:rPr>
          <w:bCs/>
          <w:sz w:val="22"/>
        </w:rPr>
        <w:t>stay</w:t>
      </w:r>
      <w:proofErr w:type="gramEnd"/>
      <w:r>
        <w:rPr>
          <w:bCs/>
          <w:sz w:val="22"/>
        </w:rPr>
        <w:t xml:space="preserve"> upstream of c</w:t>
      </w:r>
      <w:r w:rsidR="00246F3C" w:rsidRPr="000E61A5">
        <w:rPr>
          <w:bCs/>
          <w:sz w:val="22"/>
        </w:rPr>
        <w:t>ontinuous</w:t>
      </w:r>
      <w:r>
        <w:rPr>
          <w:bCs/>
          <w:sz w:val="22"/>
        </w:rPr>
        <w:t xml:space="preserve"> </w:t>
      </w:r>
      <w:r w:rsidR="00246F3C" w:rsidRPr="000E61A5">
        <w:rPr>
          <w:bCs/>
          <w:sz w:val="22"/>
        </w:rPr>
        <w:t>logge</w:t>
      </w:r>
      <w:r>
        <w:rPr>
          <w:bCs/>
          <w:sz w:val="22"/>
        </w:rPr>
        <w:t>rs when collecting samples</w:t>
      </w:r>
      <w:r w:rsidR="00246F3C" w:rsidRPr="000E61A5">
        <w:rPr>
          <w:bCs/>
          <w:sz w:val="22"/>
        </w:rPr>
        <w:t xml:space="preserve">.   </w:t>
      </w:r>
    </w:p>
    <w:p w:rsidR="000E61A5" w:rsidRPr="000E61A5" w:rsidRDefault="000E61A5" w:rsidP="00246F3C">
      <w:pPr>
        <w:tabs>
          <w:tab w:val="left" w:pos="720"/>
        </w:tabs>
        <w:rPr>
          <w:bCs/>
          <w:sz w:val="22"/>
        </w:rPr>
      </w:pPr>
    </w:p>
    <w:p w:rsidR="00246F3C" w:rsidRPr="000E61A5" w:rsidRDefault="00246F3C" w:rsidP="00246F3C">
      <w:pPr>
        <w:tabs>
          <w:tab w:val="left" w:pos="720"/>
        </w:tabs>
        <w:rPr>
          <w:bCs/>
          <w:sz w:val="22"/>
        </w:rPr>
      </w:pPr>
      <w:r w:rsidRPr="000E61A5">
        <w:rPr>
          <w:bCs/>
          <w:sz w:val="22"/>
        </w:rPr>
        <w:t xml:space="preserve">See Section 8.0 for discussion regarding </w:t>
      </w:r>
      <w:r w:rsidR="000E61A5">
        <w:rPr>
          <w:bCs/>
          <w:sz w:val="22"/>
        </w:rPr>
        <w:t>field measurements</w:t>
      </w:r>
      <w:r w:rsidRPr="000E61A5">
        <w:rPr>
          <w:bCs/>
          <w:sz w:val="22"/>
        </w:rPr>
        <w:t xml:space="preserve"> for QC accuracy checks.</w:t>
      </w:r>
    </w:p>
    <w:p w:rsidR="00246F3C" w:rsidRPr="000E61A5" w:rsidRDefault="00246F3C" w:rsidP="00246F3C">
      <w:pPr>
        <w:tabs>
          <w:tab w:val="left" w:pos="720"/>
        </w:tabs>
        <w:rPr>
          <w:b/>
        </w:rPr>
      </w:pPr>
    </w:p>
    <w:p w:rsidR="00246F3C" w:rsidRPr="000E61A5" w:rsidRDefault="00246F3C" w:rsidP="00246F3C">
      <w:pPr>
        <w:tabs>
          <w:tab w:val="left" w:pos="720"/>
        </w:tabs>
        <w:rPr>
          <w:b/>
        </w:rPr>
      </w:pPr>
      <w:r w:rsidRPr="000E61A5">
        <w:rPr>
          <w:b/>
        </w:rPr>
        <w:t>5.0</w:t>
      </w:r>
      <w:r w:rsidRPr="000E61A5">
        <w:rPr>
          <w:b/>
        </w:rPr>
        <w:tab/>
        <w:t>APPARATUS, EQUIPMENT AND MATERIALS</w:t>
      </w:r>
    </w:p>
    <w:p w:rsidR="00246F3C" w:rsidRPr="000E61A5" w:rsidRDefault="00246F3C" w:rsidP="00246F3C">
      <w:pPr>
        <w:pStyle w:val="Heading4"/>
      </w:pPr>
    </w:p>
    <w:p w:rsidR="00246F3C" w:rsidRPr="000E61A5" w:rsidRDefault="00246F3C" w:rsidP="00246F3C">
      <w:pPr>
        <w:rPr>
          <w:sz w:val="22"/>
        </w:rPr>
      </w:pPr>
      <w:r w:rsidRPr="000E61A5">
        <w:rPr>
          <w:sz w:val="22"/>
        </w:rPr>
        <w:t xml:space="preserve">The following materials and procedures can be used to collect continuous </w:t>
      </w:r>
      <w:r w:rsidR="000E61A5">
        <w:rPr>
          <w:sz w:val="22"/>
        </w:rPr>
        <w:t>conductivity</w:t>
      </w:r>
      <w:r w:rsidRPr="000E61A5">
        <w:rPr>
          <w:sz w:val="22"/>
        </w:rPr>
        <w:t xml:space="preserve"> data (see Appendix A for additional information regarding </w:t>
      </w:r>
      <w:r w:rsidR="001B655F">
        <w:rPr>
          <w:sz w:val="22"/>
        </w:rPr>
        <w:t>s</w:t>
      </w:r>
      <w:r w:rsidRPr="000E61A5">
        <w:rPr>
          <w:sz w:val="22"/>
        </w:rPr>
        <w:t>ensor specifications):</w:t>
      </w:r>
    </w:p>
    <w:p w:rsidR="00246F3C" w:rsidRPr="000E61A5" w:rsidRDefault="00246F3C" w:rsidP="00246F3C">
      <w:pPr>
        <w:rPr>
          <w:sz w:val="22"/>
        </w:rPr>
      </w:pPr>
    </w:p>
    <w:p w:rsidR="00246F3C" w:rsidRPr="000E61A5" w:rsidRDefault="00246F3C" w:rsidP="00246F3C">
      <w:pPr>
        <w:rPr>
          <w:sz w:val="22"/>
        </w:rPr>
      </w:pPr>
      <w:r w:rsidRPr="000E61A5">
        <w:rPr>
          <w:sz w:val="22"/>
          <w:u w:val="single"/>
        </w:rPr>
        <w:t>Sensing and Data Retrieval</w:t>
      </w:r>
      <w:r w:rsidR="001B655F">
        <w:rPr>
          <w:sz w:val="22"/>
          <w:u w:val="single"/>
        </w:rPr>
        <w:t xml:space="preserve">: </w:t>
      </w:r>
      <w:r w:rsidRPr="000E61A5">
        <w:rPr>
          <w:sz w:val="22"/>
        </w:rPr>
        <w:t xml:space="preserve"> O</w:t>
      </w:r>
      <w:r w:rsidR="001B655F">
        <w:rPr>
          <w:sz w:val="22"/>
        </w:rPr>
        <w:t xml:space="preserve">nset HOBO U24 conductivity </w:t>
      </w:r>
      <w:r w:rsidRPr="000E61A5">
        <w:rPr>
          <w:sz w:val="22"/>
        </w:rPr>
        <w:t xml:space="preserve">sensors, optic shuttles, optic base stations and </w:t>
      </w:r>
      <w:proofErr w:type="spellStart"/>
      <w:r w:rsidRPr="000E61A5">
        <w:rPr>
          <w:sz w:val="22"/>
        </w:rPr>
        <w:t>Hoboware</w:t>
      </w:r>
      <w:proofErr w:type="spellEnd"/>
      <w:r w:rsidRPr="000E61A5">
        <w:rPr>
          <w:sz w:val="22"/>
        </w:rPr>
        <w:t xml:space="preserve"> Pro software (Onset Computer Corp.).   The 6” long, sealed polycarbonate optic sensors are initially launched (data logging initiated) using </w:t>
      </w:r>
      <w:proofErr w:type="spellStart"/>
      <w:r w:rsidRPr="000E61A5">
        <w:rPr>
          <w:sz w:val="22"/>
        </w:rPr>
        <w:t>Hoboware</w:t>
      </w:r>
      <w:proofErr w:type="spellEnd"/>
      <w:r w:rsidRPr="000E61A5">
        <w:rPr>
          <w:sz w:val="22"/>
        </w:rPr>
        <w:t>.  All sensors must be deemed fit to use and re-launched prior to placement in rigid plastic tubes for field use.   At the same time, the optic shuttle (used for field downloading without a laptop) and the optic base station (for data transmittal from a sensor or the shuttle to the PC) are also tested to make sure they are working satisfactorily.  After placement in the plastic tubes, the sensors are anchored at representative stream/river locations at each location.</w:t>
      </w:r>
    </w:p>
    <w:p w:rsidR="00246F3C" w:rsidRPr="000E61A5" w:rsidRDefault="00246F3C" w:rsidP="00246F3C">
      <w:pPr>
        <w:rPr>
          <w:sz w:val="22"/>
        </w:rPr>
      </w:pPr>
    </w:p>
    <w:p w:rsidR="00246F3C" w:rsidRPr="000E61A5" w:rsidRDefault="00246F3C" w:rsidP="00246F3C">
      <w:pPr>
        <w:rPr>
          <w:sz w:val="22"/>
        </w:rPr>
      </w:pPr>
      <w:r w:rsidRPr="000E61A5">
        <w:rPr>
          <w:sz w:val="22"/>
          <w:u w:val="single"/>
        </w:rPr>
        <w:t>Sensor Housing and Anchoring Assembly</w:t>
      </w:r>
      <w:r w:rsidRPr="000E61A5">
        <w:rPr>
          <w:sz w:val="22"/>
        </w:rPr>
        <w:t xml:space="preserve">:  To protect each sensor, each unit is placed in a 9-12” long, 2” O.D. ABS plastic pipe with caps on both ends.  Several ¾” holes are drilled into each pipe section to reduce buoyancy.    Also, the enclosures are numbered to keep track of which sensors are at which locations.  Flexible plastic coated cables with looped ends and locks are used to secure the units at each location.  </w:t>
      </w:r>
    </w:p>
    <w:p w:rsidR="00246F3C" w:rsidRPr="000E61A5" w:rsidRDefault="00246F3C" w:rsidP="00246F3C">
      <w:pPr>
        <w:rPr>
          <w:sz w:val="22"/>
        </w:rPr>
      </w:pPr>
    </w:p>
    <w:p w:rsidR="00246F3C" w:rsidRPr="000E61A5" w:rsidRDefault="00246F3C" w:rsidP="00246F3C">
      <w:pPr>
        <w:rPr>
          <w:sz w:val="22"/>
        </w:rPr>
      </w:pPr>
      <w:r w:rsidRPr="000E61A5">
        <w:rPr>
          <w:sz w:val="22"/>
          <w:u w:val="single"/>
        </w:rPr>
        <w:t>Field Deployment and Retrieval</w:t>
      </w:r>
      <w:r w:rsidRPr="000E61A5">
        <w:rPr>
          <w:sz w:val="22"/>
        </w:rPr>
        <w:t xml:space="preserve">:   Units are typically deployed </w:t>
      </w:r>
      <w:r w:rsidR="001B655F">
        <w:rPr>
          <w:sz w:val="22"/>
        </w:rPr>
        <w:t xml:space="preserve">with </w:t>
      </w:r>
      <w:r w:rsidRPr="000E61A5">
        <w:rPr>
          <w:sz w:val="22"/>
        </w:rPr>
        <w:t xml:space="preserve">the </w:t>
      </w:r>
      <w:r w:rsidR="001B655F">
        <w:rPr>
          <w:sz w:val="22"/>
        </w:rPr>
        <w:t>tube</w:t>
      </w:r>
      <w:r w:rsidRPr="000E61A5">
        <w:rPr>
          <w:sz w:val="22"/>
        </w:rPr>
        <w:t xml:space="preserve"> secured off the bottom with rocks and/or concrete block.   </w:t>
      </w:r>
      <w:r w:rsidR="001B655F">
        <w:rPr>
          <w:sz w:val="22"/>
        </w:rPr>
        <w:t>Vertical orientation preferred (to avoid bubble</w:t>
      </w:r>
      <w:r w:rsidR="00F10E25">
        <w:rPr>
          <w:sz w:val="22"/>
        </w:rPr>
        <w:t xml:space="preserve">s on the sensor).  </w:t>
      </w:r>
      <w:r w:rsidRPr="000E61A5">
        <w:rPr>
          <w:sz w:val="22"/>
        </w:rPr>
        <w:t xml:space="preserve">The cable must be hidden as much as possible.   The pipe number, station name and number, exact time and other relevant field data are documented on dedicated deployment </w:t>
      </w:r>
      <w:proofErr w:type="spellStart"/>
      <w:r w:rsidRPr="000E61A5">
        <w:rPr>
          <w:sz w:val="22"/>
        </w:rPr>
        <w:t>fieldsheets</w:t>
      </w:r>
      <w:proofErr w:type="spellEnd"/>
      <w:r w:rsidRPr="000E61A5">
        <w:rPr>
          <w:sz w:val="22"/>
        </w:rPr>
        <w:t xml:space="preserve">.  </w:t>
      </w:r>
    </w:p>
    <w:p w:rsidR="00246F3C" w:rsidRPr="000E61A5" w:rsidRDefault="00246F3C" w:rsidP="00246F3C">
      <w:pPr>
        <w:rPr>
          <w:sz w:val="22"/>
        </w:rPr>
      </w:pPr>
    </w:p>
    <w:p w:rsidR="00246F3C" w:rsidRPr="000E61A5" w:rsidRDefault="00F10E25" w:rsidP="00246F3C">
      <w:pPr>
        <w:rPr>
          <w:sz w:val="22"/>
        </w:rPr>
      </w:pPr>
      <w:r>
        <w:rPr>
          <w:sz w:val="22"/>
          <w:u w:val="single"/>
        </w:rPr>
        <w:t>A</w:t>
      </w:r>
      <w:r w:rsidR="00246F3C" w:rsidRPr="000E61A5">
        <w:rPr>
          <w:sz w:val="22"/>
          <w:u w:val="single"/>
        </w:rPr>
        <w:t>ccuracy checks</w:t>
      </w:r>
      <w:r w:rsidR="00246F3C" w:rsidRPr="000E61A5">
        <w:rPr>
          <w:sz w:val="22"/>
        </w:rPr>
        <w:t>:  A</w:t>
      </w:r>
      <w:r>
        <w:rPr>
          <w:sz w:val="22"/>
        </w:rPr>
        <w:t>ttended specific conductance readings can be collected</w:t>
      </w:r>
      <w:r w:rsidR="00246F3C" w:rsidRPr="000E61A5">
        <w:rPr>
          <w:sz w:val="22"/>
        </w:rPr>
        <w:t xml:space="preserve"> in the lab prior to deployment and in the field to check sensor accuracy.  </w:t>
      </w:r>
      <w:r>
        <w:rPr>
          <w:sz w:val="22"/>
        </w:rPr>
        <w:t xml:space="preserve">NOTE:  Measurements in specific conductance at 25C must be corrected to conductivity at the ambient collection temperature using appropriate equation (see Appendix B).  </w:t>
      </w:r>
      <w:r w:rsidR="00246F3C" w:rsidRPr="000E61A5">
        <w:rPr>
          <w:sz w:val="22"/>
        </w:rPr>
        <w:t xml:space="preserve">At a minimum in the field, checks should be made both at deployment and at retrieval (required), with a minimum preferred frequency of monthly in-situ checks.    </w:t>
      </w:r>
    </w:p>
    <w:p w:rsidR="00246F3C" w:rsidRPr="000E61A5" w:rsidRDefault="00246F3C" w:rsidP="00246F3C">
      <w:pPr>
        <w:rPr>
          <w:sz w:val="22"/>
        </w:rPr>
      </w:pPr>
      <w:r w:rsidRPr="000E61A5">
        <w:rPr>
          <w:sz w:val="22"/>
        </w:rPr>
        <w:t xml:space="preserve">    </w:t>
      </w:r>
    </w:p>
    <w:p w:rsidR="00246F3C" w:rsidRPr="000E61A5" w:rsidRDefault="00246F3C" w:rsidP="00246F3C">
      <w:pPr>
        <w:rPr>
          <w:sz w:val="22"/>
          <w:u w:val="single"/>
        </w:rPr>
      </w:pPr>
      <w:r w:rsidRPr="000E61A5">
        <w:rPr>
          <w:sz w:val="22"/>
          <w:u w:val="single"/>
        </w:rPr>
        <w:t>Data Upload:</w:t>
      </w:r>
      <w:r w:rsidRPr="000E61A5">
        <w:rPr>
          <w:sz w:val="22"/>
          <w:szCs w:val="24"/>
        </w:rPr>
        <w:t xml:space="preserve">   After retrieval, units are transported back to the office for upload to PC.  Units are cleaned and dried.  The optic base stations are used to connect the loggers to the PC.  Using READOUT, each logger’s </w:t>
      </w:r>
      <w:proofErr w:type="spellStart"/>
      <w:r w:rsidRPr="000E61A5">
        <w:rPr>
          <w:sz w:val="22"/>
          <w:szCs w:val="24"/>
        </w:rPr>
        <w:t>datafile</w:t>
      </w:r>
      <w:proofErr w:type="spellEnd"/>
      <w:r w:rsidRPr="000E61A5">
        <w:rPr>
          <w:sz w:val="22"/>
          <w:szCs w:val="24"/>
        </w:rPr>
        <w:t xml:space="preserve"> is uploaded into </w:t>
      </w:r>
      <w:proofErr w:type="spellStart"/>
      <w:r w:rsidRPr="000E61A5">
        <w:rPr>
          <w:sz w:val="22"/>
        </w:rPr>
        <w:t>Hoboware</w:t>
      </w:r>
      <w:proofErr w:type="spellEnd"/>
      <w:r w:rsidRPr="000E61A5">
        <w:rPr>
          <w:sz w:val="22"/>
        </w:rPr>
        <w:t xml:space="preserve"> Pro, where they are then exported to read-only EXCEL files</w:t>
      </w:r>
      <w:r w:rsidR="00F10E25">
        <w:rPr>
          <w:sz w:val="22"/>
        </w:rPr>
        <w:t>.</w:t>
      </w:r>
      <w:r w:rsidRPr="000E61A5">
        <w:rPr>
          <w:sz w:val="22"/>
        </w:rPr>
        <w:t xml:space="preserve"> </w:t>
      </w:r>
      <w:r w:rsidRPr="000E61A5">
        <w:rPr>
          <w:sz w:val="22"/>
          <w:szCs w:val="24"/>
        </w:rPr>
        <w:t xml:space="preserve">  </w:t>
      </w:r>
      <w:r w:rsidR="00F10E25">
        <w:rPr>
          <w:sz w:val="22"/>
          <w:szCs w:val="24"/>
        </w:rPr>
        <w:t>D</w:t>
      </w:r>
      <w:r w:rsidRPr="000E61A5">
        <w:rPr>
          <w:sz w:val="22"/>
        </w:rPr>
        <w:t>ata processing is done using EXCEL.</w:t>
      </w:r>
    </w:p>
    <w:p w:rsidR="00246F3C" w:rsidRPr="000E61A5" w:rsidRDefault="00246F3C" w:rsidP="00246F3C">
      <w:pPr>
        <w:rPr>
          <w:sz w:val="22"/>
          <w:u w:val="single"/>
        </w:rPr>
      </w:pPr>
    </w:p>
    <w:p w:rsidR="00246F3C" w:rsidRPr="000E61A5" w:rsidRDefault="00246F3C" w:rsidP="00246F3C">
      <w:pPr>
        <w:rPr>
          <w:sz w:val="22"/>
        </w:rPr>
      </w:pPr>
      <w:r w:rsidRPr="000E61A5">
        <w:rPr>
          <w:sz w:val="22"/>
          <w:u w:val="single"/>
        </w:rPr>
        <w:t>Data Validation, Management and Analysis</w:t>
      </w:r>
      <w:r w:rsidRPr="000E61A5">
        <w:rPr>
          <w:sz w:val="22"/>
        </w:rPr>
        <w:t>:</w:t>
      </w:r>
      <w:r w:rsidRPr="000E61A5">
        <w:rPr>
          <w:sz w:val="22"/>
          <w:szCs w:val="24"/>
        </w:rPr>
        <w:t xml:space="preserve">  </w:t>
      </w:r>
      <w:r w:rsidRPr="000E61A5">
        <w:rPr>
          <w:sz w:val="22"/>
        </w:rPr>
        <w:t xml:space="preserve"> Data are exported to MS EXCEL or other database tool(s) for trimming, validation, analysis and graphics.  </w:t>
      </w:r>
    </w:p>
    <w:p w:rsidR="00246F3C" w:rsidRPr="000E61A5" w:rsidRDefault="00246F3C" w:rsidP="00246F3C">
      <w:pPr>
        <w:pStyle w:val="InsideAddress"/>
        <w:rPr>
          <w:sz w:val="22"/>
          <w:szCs w:val="24"/>
        </w:rPr>
      </w:pPr>
    </w:p>
    <w:p w:rsidR="00246F3C" w:rsidRPr="000E61A5" w:rsidRDefault="00246F3C" w:rsidP="00246F3C">
      <w:pPr>
        <w:pStyle w:val="Heading4"/>
      </w:pPr>
      <w:r w:rsidRPr="000E61A5">
        <w:t>6.0</w:t>
      </w:r>
      <w:r w:rsidRPr="000E61A5">
        <w:tab/>
        <w:t>REAGENTS</w:t>
      </w:r>
    </w:p>
    <w:p w:rsidR="00246F3C" w:rsidRPr="000E61A5" w:rsidRDefault="00246F3C" w:rsidP="00246F3C">
      <w:pPr>
        <w:tabs>
          <w:tab w:val="left" w:pos="720"/>
        </w:tabs>
        <w:rPr>
          <w:b/>
        </w:rPr>
      </w:pPr>
    </w:p>
    <w:p w:rsidR="00246F3C" w:rsidRPr="000E61A5" w:rsidRDefault="00246F3C" w:rsidP="00246F3C">
      <w:pPr>
        <w:pStyle w:val="Footer"/>
        <w:tabs>
          <w:tab w:val="clear" w:pos="4320"/>
          <w:tab w:val="clear" w:pos="8640"/>
          <w:tab w:val="left" w:pos="720"/>
        </w:tabs>
        <w:rPr>
          <w:bCs/>
          <w:sz w:val="22"/>
        </w:rPr>
      </w:pPr>
      <w:r w:rsidRPr="000E61A5">
        <w:rPr>
          <w:bCs/>
          <w:sz w:val="22"/>
        </w:rPr>
        <w:t>NA</w:t>
      </w:r>
    </w:p>
    <w:p w:rsidR="00246F3C" w:rsidRPr="000E61A5" w:rsidRDefault="00246F3C" w:rsidP="00246F3C">
      <w:pPr>
        <w:tabs>
          <w:tab w:val="left" w:pos="720"/>
        </w:tabs>
        <w:rPr>
          <w:b/>
        </w:rPr>
      </w:pPr>
    </w:p>
    <w:p w:rsidR="00246F3C" w:rsidRPr="000E61A5" w:rsidRDefault="00246F3C" w:rsidP="00246F3C">
      <w:pPr>
        <w:tabs>
          <w:tab w:val="left" w:pos="720"/>
        </w:tabs>
        <w:rPr>
          <w:b/>
        </w:rPr>
      </w:pPr>
      <w:r w:rsidRPr="000E61A5">
        <w:rPr>
          <w:b/>
        </w:rPr>
        <w:t>7.0</w:t>
      </w:r>
      <w:r w:rsidRPr="000E61A5">
        <w:rPr>
          <w:b/>
        </w:rPr>
        <w:tab/>
        <w:t>CALIBRATION</w:t>
      </w:r>
    </w:p>
    <w:p w:rsidR="00246F3C" w:rsidRPr="000E61A5" w:rsidRDefault="00246F3C" w:rsidP="00246F3C">
      <w:pPr>
        <w:tabs>
          <w:tab w:val="left" w:pos="720"/>
        </w:tabs>
        <w:rPr>
          <w:b/>
        </w:rPr>
      </w:pPr>
    </w:p>
    <w:p w:rsidR="00286E89" w:rsidRDefault="00F10E25" w:rsidP="00286E89">
      <w:pPr>
        <w:autoSpaceDE w:val="0"/>
        <w:autoSpaceDN w:val="0"/>
        <w:adjustRightInd w:val="0"/>
        <w:rPr>
          <w:rFonts w:eastAsiaTheme="minorHAnsi"/>
          <w:i/>
          <w:iCs/>
          <w:sz w:val="10"/>
          <w:szCs w:val="10"/>
        </w:rPr>
      </w:pPr>
      <w:r>
        <w:rPr>
          <w:bCs/>
          <w:sz w:val="22"/>
        </w:rPr>
        <w:t>Units</w:t>
      </w:r>
      <w:r w:rsidR="00246F3C" w:rsidRPr="000E61A5">
        <w:rPr>
          <w:bCs/>
          <w:sz w:val="22"/>
        </w:rPr>
        <w:t xml:space="preserve"> are factory-calibrated.  </w:t>
      </w:r>
      <w:r w:rsidR="007F0E06">
        <w:rPr>
          <w:bCs/>
          <w:sz w:val="22"/>
        </w:rPr>
        <w:t>Pre- and post-survey q</w:t>
      </w:r>
      <w:r w:rsidR="00246F3C" w:rsidRPr="000E61A5">
        <w:rPr>
          <w:bCs/>
          <w:sz w:val="22"/>
        </w:rPr>
        <w:t>uality control checks</w:t>
      </w:r>
      <w:r w:rsidR="007F0E06">
        <w:rPr>
          <w:bCs/>
          <w:sz w:val="22"/>
        </w:rPr>
        <w:t xml:space="preserve"> (and field QC checks)</w:t>
      </w:r>
      <w:r w:rsidR="00246F3C" w:rsidRPr="000E61A5">
        <w:rPr>
          <w:bCs/>
          <w:sz w:val="22"/>
        </w:rPr>
        <w:t xml:space="preserve">, however, are required to verify accuracy.  </w:t>
      </w:r>
      <w:r>
        <w:rPr>
          <w:sz w:val="22"/>
        </w:rPr>
        <w:t xml:space="preserve">NOTE:  QC measurements in specific conductance at 25C must be corrected to conductivity at the ambient collection temperature (see </w:t>
      </w:r>
      <w:r w:rsidR="00286E89">
        <w:rPr>
          <w:sz w:val="22"/>
        </w:rPr>
        <w:t xml:space="preserve">also </w:t>
      </w:r>
      <w:r>
        <w:rPr>
          <w:sz w:val="22"/>
        </w:rPr>
        <w:t>Appendix B)</w:t>
      </w:r>
      <w:r w:rsidR="00286E89">
        <w:rPr>
          <w:sz w:val="22"/>
        </w:rPr>
        <w:t xml:space="preserve"> by solving for </w:t>
      </w:r>
      <w:r w:rsidR="00286E89">
        <w:rPr>
          <w:rFonts w:eastAsiaTheme="minorHAnsi"/>
          <w:i/>
          <w:iCs/>
          <w:sz w:val="18"/>
          <w:szCs w:val="18"/>
        </w:rPr>
        <w:t>C</w:t>
      </w:r>
      <w:r w:rsidR="00286E89">
        <w:rPr>
          <w:rFonts w:eastAsiaTheme="minorHAnsi"/>
          <w:i/>
          <w:iCs/>
          <w:sz w:val="10"/>
          <w:szCs w:val="10"/>
        </w:rPr>
        <w:t>m</w:t>
      </w:r>
    </w:p>
    <w:p w:rsidR="00286E89" w:rsidRDefault="00286E89" w:rsidP="00286E89">
      <w:pPr>
        <w:pStyle w:val="Footer"/>
        <w:tabs>
          <w:tab w:val="clear" w:pos="4320"/>
          <w:tab w:val="clear" w:pos="8640"/>
          <w:tab w:val="left" w:pos="720"/>
        </w:tabs>
        <w:rPr>
          <w:sz w:val="22"/>
        </w:rPr>
      </w:pPr>
      <w:proofErr w:type="gramStart"/>
      <w:r>
        <w:rPr>
          <w:sz w:val="22"/>
        </w:rPr>
        <w:t>in</w:t>
      </w:r>
      <w:proofErr w:type="gramEnd"/>
      <w:r>
        <w:rPr>
          <w:sz w:val="22"/>
        </w:rPr>
        <w:t xml:space="preserve"> the following equation:</w:t>
      </w:r>
    </w:p>
    <w:p w:rsidR="00286E89" w:rsidRDefault="00286E89" w:rsidP="00286E89">
      <w:pPr>
        <w:pStyle w:val="Footer"/>
        <w:tabs>
          <w:tab w:val="clear" w:pos="4320"/>
          <w:tab w:val="clear" w:pos="8640"/>
          <w:tab w:val="left" w:pos="720"/>
        </w:tabs>
        <w:rPr>
          <w:sz w:val="22"/>
        </w:rPr>
      </w:pPr>
    </w:p>
    <w:p w:rsidR="00286E89" w:rsidRDefault="00286E89" w:rsidP="007F0E06">
      <w:pPr>
        <w:autoSpaceDE w:val="0"/>
        <w:autoSpaceDN w:val="0"/>
        <w:adjustRightInd w:val="0"/>
        <w:ind w:left="720"/>
        <w:rPr>
          <w:rFonts w:eastAsiaTheme="minorHAnsi"/>
          <w:sz w:val="20"/>
        </w:rPr>
      </w:pPr>
      <w:r>
        <w:rPr>
          <w:rFonts w:eastAsiaTheme="minorHAnsi"/>
          <w:i/>
          <w:iCs/>
          <w:sz w:val="18"/>
          <w:szCs w:val="18"/>
        </w:rPr>
        <w:t>C</w:t>
      </w:r>
      <w:r>
        <w:rPr>
          <w:rFonts w:eastAsiaTheme="minorHAnsi"/>
          <w:i/>
          <w:iCs/>
          <w:sz w:val="10"/>
          <w:szCs w:val="10"/>
        </w:rPr>
        <w:t xml:space="preserve">25 </w:t>
      </w:r>
      <w:r>
        <w:rPr>
          <w:rFonts w:eastAsiaTheme="minorHAnsi"/>
          <w:i/>
          <w:iCs/>
          <w:sz w:val="18"/>
          <w:szCs w:val="18"/>
        </w:rPr>
        <w:t>=</w:t>
      </w:r>
      <w:r w:rsidRPr="00286E89">
        <w:rPr>
          <w:rFonts w:eastAsiaTheme="minorHAnsi"/>
          <w:i/>
          <w:iCs/>
          <w:sz w:val="18"/>
          <w:szCs w:val="18"/>
        </w:rPr>
        <w:t xml:space="preserve"> </w:t>
      </w:r>
      <w:r>
        <w:rPr>
          <w:rFonts w:eastAsiaTheme="minorHAnsi"/>
          <w:i/>
          <w:iCs/>
          <w:sz w:val="18"/>
          <w:szCs w:val="18"/>
        </w:rPr>
        <w:t>C</w:t>
      </w:r>
      <w:r>
        <w:rPr>
          <w:rFonts w:eastAsiaTheme="minorHAnsi"/>
          <w:i/>
          <w:iCs/>
          <w:sz w:val="10"/>
          <w:szCs w:val="10"/>
        </w:rPr>
        <w:t xml:space="preserve">m </w:t>
      </w:r>
      <w:proofErr w:type="gramStart"/>
      <w:r>
        <w:rPr>
          <w:rFonts w:eastAsiaTheme="minorHAnsi"/>
          <w:i/>
          <w:iCs/>
          <w:sz w:val="20"/>
        </w:rPr>
        <w:t>/(</w:t>
      </w:r>
      <w:proofErr w:type="gramEnd"/>
      <w:r>
        <w:rPr>
          <w:rFonts w:eastAsiaTheme="minorHAnsi"/>
          <w:i/>
          <w:iCs/>
          <w:sz w:val="18"/>
          <w:szCs w:val="18"/>
        </w:rPr>
        <w:t xml:space="preserve">1 + </w:t>
      </w:r>
      <w:r w:rsidR="009B0EA1">
        <w:rPr>
          <w:rFonts w:eastAsiaTheme="minorHAnsi"/>
          <w:i/>
          <w:iCs/>
          <w:sz w:val="18"/>
          <w:szCs w:val="18"/>
        </w:rPr>
        <w:t>TCV</w:t>
      </w:r>
      <w:r>
        <w:rPr>
          <w:rFonts w:eastAsiaTheme="minorHAnsi"/>
          <w:i/>
          <w:iCs/>
          <w:sz w:val="18"/>
          <w:szCs w:val="18"/>
        </w:rPr>
        <w:t xml:space="preserve"> (t</w:t>
      </w:r>
      <w:r>
        <w:rPr>
          <w:rFonts w:eastAsiaTheme="minorHAnsi"/>
          <w:i/>
          <w:iCs/>
          <w:sz w:val="10"/>
          <w:szCs w:val="10"/>
        </w:rPr>
        <w:t xml:space="preserve">m </w:t>
      </w:r>
      <w:r>
        <w:rPr>
          <w:rFonts w:eastAsiaTheme="minorHAnsi"/>
          <w:i/>
          <w:iCs/>
          <w:sz w:val="18"/>
          <w:szCs w:val="18"/>
        </w:rPr>
        <w:t>– 25))</w:t>
      </w:r>
    </w:p>
    <w:p w:rsidR="00286E89" w:rsidRDefault="00286E89" w:rsidP="007F0E06">
      <w:pPr>
        <w:pStyle w:val="Footer"/>
        <w:tabs>
          <w:tab w:val="clear" w:pos="4320"/>
          <w:tab w:val="clear" w:pos="8640"/>
          <w:tab w:val="left" w:pos="720"/>
        </w:tabs>
        <w:ind w:left="720"/>
        <w:rPr>
          <w:rFonts w:eastAsiaTheme="minorHAnsi"/>
          <w:sz w:val="20"/>
        </w:rPr>
      </w:pPr>
    </w:p>
    <w:p w:rsidR="00286E89" w:rsidRDefault="00286E89" w:rsidP="007F0E06">
      <w:pPr>
        <w:autoSpaceDE w:val="0"/>
        <w:autoSpaceDN w:val="0"/>
        <w:adjustRightInd w:val="0"/>
        <w:ind w:left="720"/>
        <w:rPr>
          <w:rFonts w:eastAsiaTheme="minorHAnsi"/>
          <w:sz w:val="20"/>
        </w:rPr>
      </w:pPr>
      <w:r>
        <w:rPr>
          <w:rFonts w:eastAsiaTheme="minorHAnsi"/>
          <w:i/>
          <w:iCs/>
          <w:sz w:val="20"/>
        </w:rPr>
        <w:t>C</w:t>
      </w:r>
      <w:r>
        <w:rPr>
          <w:rFonts w:eastAsiaTheme="minorHAnsi"/>
          <w:i/>
          <w:iCs/>
          <w:sz w:val="12"/>
          <w:szCs w:val="12"/>
        </w:rPr>
        <w:t xml:space="preserve">25 </w:t>
      </w:r>
      <w:r>
        <w:rPr>
          <w:rFonts w:eastAsiaTheme="minorHAnsi"/>
          <w:sz w:val="20"/>
        </w:rPr>
        <w:t>= corrected conductivity value adjusted to 25</w:t>
      </w:r>
      <w:r>
        <w:rPr>
          <w:rFonts w:ascii="Symbol" w:eastAsiaTheme="minorHAnsi" w:hAnsi="Symbol" w:cs="Symbol"/>
          <w:sz w:val="20"/>
        </w:rPr>
        <w:t></w:t>
      </w:r>
      <w:r>
        <w:rPr>
          <w:rFonts w:eastAsiaTheme="minorHAnsi"/>
          <w:sz w:val="20"/>
        </w:rPr>
        <w:t>C;</w:t>
      </w:r>
    </w:p>
    <w:p w:rsidR="00286E89" w:rsidRDefault="00286E89" w:rsidP="007F0E06">
      <w:pPr>
        <w:autoSpaceDE w:val="0"/>
        <w:autoSpaceDN w:val="0"/>
        <w:adjustRightInd w:val="0"/>
        <w:ind w:left="720"/>
        <w:rPr>
          <w:rFonts w:eastAsiaTheme="minorHAnsi"/>
          <w:sz w:val="20"/>
        </w:rPr>
      </w:pPr>
      <w:r>
        <w:rPr>
          <w:rFonts w:eastAsiaTheme="minorHAnsi"/>
          <w:i/>
          <w:iCs/>
          <w:sz w:val="20"/>
        </w:rPr>
        <w:t>C</w:t>
      </w:r>
      <w:r>
        <w:rPr>
          <w:rFonts w:eastAsiaTheme="minorHAnsi"/>
          <w:i/>
          <w:iCs/>
          <w:sz w:val="12"/>
          <w:szCs w:val="12"/>
        </w:rPr>
        <w:t xml:space="preserve">m </w:t>
      </w:r>
      <w:r>
        <w:rPr>
          <w:rFonts w:eastAsiaTheme="minorHAnsi"/>
          <w:sz w:val="20"/>
        </w:rPr>
        <w:t>= actual conductivity measured before correction; and</w:t>
      </w:r>
    </w:p>
    <w:p w:rsidR="00286E89" w:rsidRPr="009B0EA1" w:rsidRDefault="00286E89" w:rsidP="007F0E06">
      <w:pPr>
        <w:autoSpaceDE w:val="0"/>
        <w:autoSpaceDN w:val="0"/>
        <w:adjustRightInd w:val="0"/>
        <w:ind w:left="720"/>
        <w:rPr>
          <w:rFonts w:eastAsiaTheme="minorHAnsi"/>
          <w:sz w:val="20"/>
        </w:rPr>
      </w:pPr>
      <w:proofErr w:type="gramStart"/>
      <w:r w:rsidRPr="009B0EA1">
        <w:rPr>
          <w:rFonts w:eastAsiaTheme="minorHAnsi"/>
          <w:i/>
          <w:iCs/>
          <w:sz w:val="20"/>
        </w:rPr>
        <w:t>tm</w:t>
      </w:r>
      <w:proofErr w:type="gramEnd"/>
      <w:r w:rsidRPr="009B0EA1">
        <w:rPr>
          <w:rFonts w:eastAsiaTheme="minorHAnsi"/>
          <w:i/>
          <w:iCs/>
          <w:sz w:val="20"/>
        </w:rPr>
        <w:t xml:space="preserve"> </w:t>
      </w:r>
      <w:r w:rsidRPr="009B0EA1">
        <w:rPr>
          <w:rFonts w:eastAsiaTheme="minorHAnsi"/>
          <w:sz w:val="20"/>
        </w:rPr>
        <w:t xml:space="preserve">= water temperature at time of </w:t>
      </w:r>
      <w:r w:rsidRPr="009B0EA1">
        <w:rPr>
          <w:rFonts w:eastAsiaTheme="minorHAnsi"/>
          <w:i/>
          <w:iCs/>
          <w:sz w:val="20"/>
        </w:rPr>
        <w:t xml:space="preserve">Cm </w:t>
      </w:r>
      <w:r w:rsidRPr="009B0EA1">
        <w:rPr>
          <w:rFonts w:eastAsiaTheme="minorHAnsi"/>
          <w:sz w:val="20"/>
        </w:rPr>
        <w:t>measurement</w:t>
      </w:r>
    </w:p>
    <w:p w:rsidR="009B0EA1" w:rsidRPr="009B0EA1" w:rsidRDefault="009B0EA1" w:rsidP="007F0E06">
      <w:pPr>
        <w:autoSpaceDE w:val="0"/>
        <w:autoSpaceDN w:val="0"/>
        <w:adjustRightInd w:val="0"/>
        <w:ind w:left="720"/>
        <w:rPr>
          <w:rFonts w:eastAsiaTheme="minorHAnsi"/>
          <w:sz w:val="20"/>
        </w:rPr>
      </w:pPr>
      <w:r w:rsidRPr="009B0EA1">
        <w:rPr>
          <w:rFonts w:eastAsiaTheme="minorHAnsi"/>
          <w:i/>
          <w:iCs/>
          <w:sz w:val="20"/>
        </w:rPr>
        <w:t>TCV=Temperature Coefficient of Variation (for fresh water, use 0.02; ~2.0%/</w:t>
      </w:r>
      <w:proofErr w:type="spellStart"/>
      <w:r w:rsidRPr="009B0EA1">
        <w:rPr>
          <w:rFonts w:eastAsiaTheme="minorHAnsi"/>
          <w:i/>
          <w:iCs/>
          <w:sz w:val="20"/>
        </w:rPr>
        <w:t>deg</w:t>
      </w:r>
      <w:proofErr w:type="spellEnd"/>
      <w:r w:rsidRPr="009B0EA1">
        <w:rPr>
          <w:rFonts w:eastAsiaTheme="minorHAnsi"/>
          <w:i/>
          <w:iCs/>
          <w:sz w:val="20"/>
        </w:rPr>
        <w:t xml:space="preserve"> C</w:t>
      </w:r>
      <w:r w:rsidR="00013265">
        <w:rPr>
          <w:rFonts w:eastAsiaTheme="minorHAnsi"/>
          <w:i/>
          <w:iCs/>
          <w:sz w:val="20"/>
        </w:rPr>
        <w:t>; Barron and Ashton, 2007</w:t>
      </w:r>
      <w:r w:rsidRPr="009B0EA1">
        <w:rPr>
          <w:rFonts w:eastAsiaTheme="minorHAnsi"/>
          <w:i/>
          <w:iCs/>
          <w:sz w:val="20"/>
        </w:rPr>
        <w:t>)</w:t>
      </w:r>
    </w:p>
    <w:p w:rsidR="00246F3C" w:rsidRPr="000E61A5" w:rsidRDefault="00246F3C" w:rsidP="00246F3C">
      <w:pPr>
        <w:pStyle w:val="Footer"/>
        <w:tabs>
          <w:tab w:val="clear" w:pos="4320"/>
          <w:tab w:val="clear" w:pos="8640"/>
          <w:tab w:val="left" w:pos="720"/>
        </w:tabs>
        <w:rPr>
          <w:bCs/>
          <w:sz w:val="22"/>
        </w:rPr>
      </w:pPr>
    </w:p>
    <w:p w:rsidR="00246F3C" w:rsidRPr="000E61A5" w:rsidRDefault="00246F3C" w:rsidP="00246F3C">
      <w:pPr>
        <w:tabs>
          <w:tab w:val="left" w:pos="720"/>
        </w:tabs>
      </w:pPr>
      <w:r w:rsidRPr="000E61A5">
        <w:rPr>
          <w:b/>
        </w:rPr>
        <w:t>8.0</w:t>
      </w:r>
      <w:r w:rsidRPr="000E61A5">
        <w:rPr>
          <w:b/>
        </w:rPr>
        <w:tab/>
        <w:t>PROCEDURE</w:t>
      </w:r>
    </w:p>
    <w:p w:rsidR="00246F3C" w:rsidRPr="000E61A5" w:rsidRDefault="00246F3C" w:rsidP="00246F3C">
      <w:pPr>
        <w:rPr>
          <w:b/>
        </w:rPr>
      </w:pPr>
    </w:p>
    <w:p w:rsidR="00286E89" w:rsidRDefault="00286E89" w:rsidP="00246F3C">
      <w:pPr>
        <w:rPr>
          <w:bCs/>
          <w:sz w:val="22"/>
        </w:rPr>
      </w:pPr>
      <w:r>
        <w:rPr>
          <w:bCs/>
          <w:sz w:val="22"/>
        </w:rPr>
        <w:t>For all instructions related to the conductivity sensor units, see Appendix A.</w:t>
      </w:r>
    </w:p>
    <w:p w:rsidR="00286E89" w:rsidRDefault="00286E89" w:rsidP="00246F3C">
      <w:pPr>
        <w:rPr>
          <w:bCs/>
          <w:sz w:val="22"/>
        </w:rPr>
      </w:pPr>
    </w:p>
    <w:p w:rsidR="00246F3C" w:rsidRPr="000E61A5" w:rsidRDefault="00246F3C" w:rsidP="00246F3C">
      <w:pPr>
        <w:rPr>
          <w:bCs/>
          <w:sz w:val="22"/>
        </w:rPr>
      </w:pPr>
      <w:r w:rsidRPr="000E61A5">
        <w:rPr>
          <w:bCs/>
          <w:sz w:val="22"/>
          <w:u w:val="single"/>
        </w:rPr>
        <w:t>Documentation</w:t>
      </w:r>
      <w:r w:rsidRPr="000E61A5">
        <w:rPr>
          <w:bCs/>
          <w:sz w:val="22"/>
        </w:rPr>
        <w:t>:</w:t>
      </w:r>
    </w:p>
    <w:p w:rsidR="00246F3C" w:rsidRPr="00286E89" w:rsidRDefault="00246F3C" w:rsidP="00246F3C">
      <w:pPr>
        <w:numPr>
          <w:ilvl w:val="0"/>
          <w:numId w:val="7"/>
        </w:numPr>
        <w:rPr>
          <w:bCs/>
          <w:sz w:val="22"/>
        </w:rPr>
      </w:pPr>
      <w:r w:rsidRPr="00286E89">
        <w:rPr>
          <w:bCs/>
          <w:sz w:val="22"/>
        </w:rPr>
        <w:t>Use probe deployment</w:t>
      </w:r>
      <w:r w:rsidRPr="00286E89">
        <w:rPr>
          <w:sz w:val="22"/>
          <w:szCs w:val="24"/>
        </w:rPr>
        <w:t xml:space="preserve"> </w:t>
      </w:r>
      <w:proofErr w:type="spellStart"/>
      <w:r w:rsidRPr="00286E89">
        <w:rPr>
          <w:sz w:val="22"/>
          <w:szCs w:val="24"/>
        </w:rPr>
        <w:t>fieldsheets</w:t>
      </w:r>
      <w:proofErr w:type="spellEnd"/>
      <w:r w:rsidRPr="00286E89">
        <w:rPr>
          <w:sz w:val="22"/>
          <w:szCs w:val="24"/>
        </w:rPr>
        <w:t xml:space="preserve"> for all fieldwork, including deployment, QC audits and sensor retrieval.  Important “metadata” to document at each site include </w:t>
      </w:r>
      <w:r w:rsidRPr="00286E89">
        <w:rPr>
          <w:bCs/>
          <w:sz w:val="22"/>
        </w:rPr>
        <w:t>on exact sensor location</w:t>
      </w:r>
      <w:r w:rsidRPr="00286E89">
        <w:rPr>
          <w:sz w:val="22"/>
          <w:szCs w:val="24"/>
        </w:rPr>
        <w:t xml:space="preserve">, flow, water velocity, average water depth, channel width, habitat type, riparian cover, </w:t>
      </w:r>
      <w:proofErr w:type="gramStart"/>
      <w:r w:rsidRPr="00286E89">
        <w:rPr>
          <w:sz w:val="22"/>
          <w:szCs w:val="24"/>
        </w:rPr>
        <w:t xml:space="preserve">weather </w:t>
      </w:r>
      <w:r w:rsidR="00286E89" w:rsidRPr="00286E89">
        <w:rPr>
          <w:sz w:val="22"/>
          <w:szCs w:val="24"/>
        </w:rPr>
        <w:t>.</w:t>
      </w:r>
      <w:proofErr w:type="gramEnd"/>
      <w:r w:rsidR="00286E89" w:rsidRPr="00286E89">
        <w:rPr>
          <w:sz w:val="22"/>
          <w:szCs w:val="24"/>
        </w:rPr>
        <w:t xml:space="preserve">  </w:t>
      </w:r>
    </w:p>
    <w:p w:rsidR="00286E89" w:rsidRPr="00286E89" w:rsidRDefault="00286E89" w:rsidP="00286E89">
      <w:pPr>
        <w:ind w:left="720"/>
        <w:rPr>
          <w:bCs/>
          <w:sz w:val="22"/>
        </w:rPr>
      </w:pPr>
    </w:p>
    <w:p w:rsidR="00246F3C" w:rsidRPr="000E61A5" w:rsidRDefault="00246F3C" w:rsidP="00246F3C">
      <w:pPr>
        <w:rPr>
          <w:bCs/>
          <w:sz w:val="22"/>
        </w:rPr>
      </w:pPr>
      <w:r w:rsidRPr="000E61A5">
        <w:rPr>
          <w:bCs/>
          <w:sz w:val="22"/>
          <w:u w:val="single"/>
        </w:rPr>
        <w:t>Launching and Pre-Testing of Sensors/Software</w:t>
      </w:r>
      <w:r w:rsidRPr="000E61A5">
        <w:rPr>
          <w:bCs/>
          <w:sz w:val="22"/>
        </w:rPr>
        <w:t>:</w:t>
      </w:r>
    </w:p>
    <w:p w:rsidR="00246F3C" w:rsidRPr="000E61A5" w:rsidRDefault="00246F3C" w:rsidP="00246F3C">
      <w:pPr>
        <w:numPr>
          <w:ilvl w:val="0"/>
          <w:numId w:val="12"/>
        </w:numPr>
        <w:rPr>
          <w:bCs/>
          <w:sz w:val="22"/>
        </w:rPr>
      </w:pPr>
      <w:r w:rsidRPr="000E61A5">
        <w:rPr>
          <w:bCs/>
          <w:sz w:val="22"/>
        </w:rPr>
        <w:t>Follow manufacturer’s steps to initiate data logging for each sensor using office PC and Hobo software.  Set measurement interval (</w:t>
      </w:r>
      <w:r w:rsidRPr="000E61A5">
        <w:rPr>
          <w:b/>
          <w:bCs/>
          <w:sz w:val="22"/>
        </w:rPr>
        <w:t>30 minutes</w:t>
      </w:r>
      <w:r w:rsidRPr="000E61A5">
        <w:rPr>
          <w:bCs/>
          <w:sz w:val="22"/>
        </w:rPr>
        <w:t xml:space="preserve"> typical) and </w:t>
      </w:r>
      <w:r w:rsidRPr="000E61A5">
        <w:rPr>
          <w:b/>
          <w:bCs/>
          <w:sz w:val="22"/>
        </w:rPr>
        <w:t>delayed start date/time on the ½ hour</w:t>
      </w:r>
      <w:r w:rsidRPr="000E61A5">
        <w:rPr>
          <w:bCs/>
          <w:sz w:val="22"/>
        </w:rPr>
        <w:t xml:space="preserve">.  </w:t>
      </w:r>
    </w:p>
    <w:p w:rsidR="00246F3C" w:rsidRPr="000E61A5" w:rsidRDefault="00246F3C" w:rsidP="00246F3C">
      <w:pPr>
        <w:rPr>
          <w:bCs/>
          <w:sz w:val="22"/>
        </w:rPr>
      </w:pPr>
    </w:p>
    <w:p w:rsidR="00246F3C" w:rsidRPr="00351F8D" w:rsidRDefault="00246F3C" w:rsidP="00246F3C">
      <w:pPr>
        <w:rPr>
          <w:bCs/>
          <w:sz w:val="22"/>
        </w:rPr>
      </w:pPr>
      <w:r w:rsidRPr="00351F8D">
        <w:rPr>
          <w:bCs/>
          <w:sz w:val="22"/>
          <w:u w:val="single"/>
        </w:rPr>
        <w:t>Sensor Placement and Retrieval</w:t>
      </w:r>
      <w:r w:rsidRPr="00351F8D">
        <w:rPr>
          <w:bCs/>
          <w:sz w:val="22"/>
        </w:rPr>
        <w:t xml:space="preserve">:  </w:t>
      </w:r>
    </w:p>
    <w:p w:rsidR="00286E89" w:rsidRPr="00351F8D" w:rsidRDefault="00246F3C" w:rsidP="00246F3C">
      <w:pPr>
        <w:numPr>
          <w:ilvl w:val="0"/>
          <w:numId w:val="13"/>
        </w:numPr>
        <w:rPr>
          <w:bCs/>
          <w:sz w:val="22"/>
        </w:rPr>
      </w:pPr>
      <w:r w:rsidRPr="00351F8D">
        <w:rPr>
          <w:bCs/>
          <w:sz w:val="22"/>
        </w:rPr>
        <w:t xml:space="preserve">Place all </w:t>
      </w:r>
      <w:r w:rsidRPr="00351F8D">
        <w:rPr>
          <w:b/>
          <w:bCs/>
          <w:sz w:val="22"/>
        </w:rPr>
        <w:t>sensors</w:t>
      </w:r>
      <w:r w:rsidRPr="00351F8D">
        <w:rPr>
          <w:bCs/>
          <w:sz w:val="22"/>
        </w:rPr>
        <w:t xml:space="preserve"> in locations in </w:t>
      </w:r>
      <w:r w:rsidRPr="00351F8D">
        <w:rPr>
          <w:bCs/>
          <w:sz w:val="22"/>
          <w:u w:val="single"/>
        </w:rPr>
        <w:t>representative flowing conditions</w:t>
      </w:r>
      <w:r w:rsidRPr="00351F8D">
        <w:rPr>
          <w:bCs/>
          <w:sz w:val="22"/>
        </w:rPr>
        <w:t xml:space="preserve"> and </w:t>
      </w:r>
      <w:r w:rsidRPr="00351F8D">
        <w:rPr>
          <w:bCs/>
          <w:sz w:val="22"/>
          <w:u w:val="single"/>
        </w:rPr>
        <w:t>shaded from direct sunlight</w:t>
      </w:r>
      <w:r w:rsidRPr="00351F8D">
        <w:rPr>
          <w:bCs/>
          <w:sz w:val="22"/>
        </w:rPr>
        <w:t xml:space="preserve"> during most/all daylight hours (this will prevent direct solar heat gain by the sensors).  </w:t>
      </w:r>
    </w:p>
    <w:p w:rsidR="00246F3C" w:rsidRPr="00351F8D" w:rsidRDefault="00246F3C" w:rsidP="00246F3C">
      <w:pPr>
        <w:numPr>
          <w:ilvl w:val="0"/>
          <w:numId w:val="13"/>
        </w:numPr>
        <w:rPr>
          <w:bCs/>
          <w:sz w:val="22"/>
        </w:rPr>
      </w:pPr>
      <w:r w:rsidRPr="00351F8D">
        <w:rPr>
          <w:bCs/>
          <w:sz w:val="22"/>
        </w:rPr>
        <w:t xml:space="preserve">Before actual deployment in-stream, </w:t>
      </w:r>
      <w:r w:rsidRPr="00351F8D">
        <w:rPr>
          <w:bCs/>
          <w:sz w:val="22"/>
          <w:u w:val="single"/>
        </w:rPr>
        <w:t>take a few moments to observe</w:t>
      </w:r>
      <w:r w:rsidRPr="00351F8D">
        <w:rPr>
          <w:bCs/>
          <w:sz w:val="22"/>
        </w:rPr>
        <w:t xml:space="preserve"> the river’s flow patterns, </w:t>
      </w:r>
      <w:proofErr w:type="spellStart"/>
      <w:r w:rsidRPr="00351F8D">
        <w:rPr>
          <w:bCs/>
          <w:sz w:val="22"/>
        </w:rPr>
        <w:t>streambank</w:t>
      </w:r>
      <w:proofErr w:type="spellEnd"/>
      <w:r w:rsidRPr="00351F8D">
        <w:rPr>
          <w:bCs/>
          <w:sz w:val="22"/>
        </w:rPr>
        <w:t xml:space="preserve"> features, </w:t>
      </w:r>
      <w:proofErr w:type="spellStart"/>
      <w:r w:rsidRPr="00351F8D">
        <w:rPr>
          <w:bCs/>
          <w:sz w:val="22"/>
        </w:rPr>
        <w:t>bedload</w:t>
      </w:r>
      <w:proofErr w:type="spellEnd"/>
      <w:r w:rsidRPr="00351F8D">
        <w:rPr>
          <w:bCs/>
          <w:sz w:val="22"/>
        </w:rPr>
        <w:t xml:space="preserve"> type, meander pattern, possible anchor points, etc.   Since </w:t>
      </w:r>
      <w:proofErr w:type="gramStart"/>
      <w:r w:rsidRPr="00351F8D">
        <w:rPr>
          <w:bCs/>
          <w:sz w:val="22"/>
        </w:rPr>
        <w:t>the  logger</w:t>
      </w:r>
      <w:proofErr w:type="gramEnd"/>
      <w:r w:rsidRPr="00351F8D">
        <w:rPr>
          <w:bCs/>
          <w:sz w:val="22"/>
        </w:rPr>
        <w:t xml:space="preserve"> will be deployed for </w:t>
      </w:r>
      <w:r w:rsidR="00286E89" w:rsidRPr="00351F8D">
        <w:rPr>
          <w:bCs/>
          <w:sz w:val="22"/>
        </w:rPr>
        <w:t>a long duration</w:t>
      </w:r>
      <w:r w:rsidRPr="00351F8D">
        <w:rPr>
          <w:bCs/>
          <w:sz w:val="22"/>
        </w:rPr>
        <w:t>, anticipating river conditions at lower/higher flows may help to avoid problems</w:t>
      </w:r>
      <w:r w:rsidR="00286E89" w:rsidRPr="00351F8D">
        <w:rPr>
          <w:bCs/>
          <w:sz w:val="22"/>
        </w:rPr>
        <w:t>, such as out-of-water</w:t>
      </w:r>
      <w:r w:rsidRPr="00351F8D">
        <w:rPr>
          <w:bCs/>
          <w:sz w:val="22"/>
        </w:rPr>
        <w:t xml:space="preserve">. </w:t>
      </w:r>
    </w:p>
    <w:p w:rsidR="00246F3C" w:rsidRPr="00351F8D" w:rsidRDefault="00246F3C" w:rsidP="00246F3C">
      <w:pPr>
        <w:numPr>
          <w:ilvl w:val="0"/>
          <w:numId w:val="13"/>
        </w:numPr>
        <w:rPr>
          <w:bCs/>
          <w:sz w:val="22"/>
        </w:rPr>
      </w:pPr>
      <w:r w:rsidRPr="00351F8D">
        <w:rPr>
          <w:bCs/>
          <w:sz w:val="22"/>
        </w:rPr>
        <w:t xml:space="preserve">If appropriate, anchor cables to fixed objects on the </w:t>
      </w:r>
      <w:r w:rsidRPr="00351F8D">
        <w:rPr>
          <w:bCs/>
          <w:sz w:val="22"/>
          <w:u w:val="single"/>
        </w:rPr>
        <w:t>near shore for easier access</w:t>
      </w:r>
      <w:r w:rsidRPr="00351F8D">
        <w:rPr>
          <w:bCs/>
          <w:sz w:val="22"/>
        </w:rPr>
        <w:t xml:space="preserve">, especially for wide, flashy rivers. </w:t>
      </w:r>
    </w:p>
    <w:p w:rsidR="00246F3C" w:rsidRPr="00351F8D" w:rsidRDefault="00246F3C" w:rsidP="00246F3C">
      <w:pPr>
        <w:numPr>
          <w:ilvl w:val="0"/>
          <w:numId w:val="13"/>
        </w:numPr>
        <w:rPr>
          <w:bCs/>
          <w:sz w:val="22"/>
        </w:rPr>
      </w:pPr>
      <w:r w:rsidRPr="00351F8D">
        <w:rPr>
          <w:bCs/>
          <w:sz w:val="22"/>
          <w:u w:val="single"/>
        </w:rPr>
        <w:t>Camouflage sensor assembly</w:t>
      </w:r>
      <w:r w:rsidRPr="00351F8D">
        <w:rPr>
          <w:bCs/>
          <w:sz w:val="22"/>
        </w:rPr>
        <w:t xml:space="preserve"> (tube and cable) sufficiently and as needed.  In most cases, employ “stealth” deploy protocols.  Also, make sure deployment does not create a hazard (e.g., tripping, boating hazard).  </w:t>
      </w:r>
    </w:p>
    <w:p w:rsidR="00246F3C" w:rsidRPr="00351F8D" w:rsidRDefault="00246F3C" w:rsidP="00246F3C">
      <w:pPr>
        <w:numPr>
          <w:ilvl w:val="0"/>
          <w:numId w:val="13"/>
        </w:numPr>
        <w:rPr>
          <w:bCs/>
          <w:sz w:val="22"/>
        </w:rPr>
      </w:pPr>
      <w:r w:rsidRPr="00351F8D">
        <w:rPr>
          <w:bCs/>
          <w:sz w:val="22"/>
        </w:rPr>
        <w:t xml:space="preserve">Mark anchor points (e.g. tree) with </w:t>
      </w:r>
      <w:r w:rsidRPr="00351F8D">
        <w:rPr>
          <w:bCs/>
          <w:sz w:val="22"/>
          <w:u w:val="single"/>
        </w:rPr>
        <w:t>unique flagging color</w:t>
      </w:r>
      <w:r w:rsidRPr="00351F8D">
        <w:rPr>
          <w:bCs/>
          <w:sz w:val="22"/>
        </w:rPr>
        <w:t xml:space="preserve"> to differentiate from other colors used. In some cases (e.g., boating), it may also be necessary to flag the cable line to notify boaters of the hazard.</w:t>
      </w:r>
    </w:p>
    <w:p w:rsidR="00286E89" w:rsidRPr="00351F8D" w:rsidRDefault="00246F3C" w:rsidP="00246F3C">
      <w:pPr>
        <w:numPr>
          <w:ilvl w:val="0"/>
          <w:numId w:val="13"/>
        </w:numPr>
        <w:rPr>
          <w:bCs/>
          <w:sz w:val="22"/>
        </w:rPr>
      </w:pPr>
      <w:r w:rsidRPr="00351F8D">
        <w:rPr>
          <w:bCs/>
          <w:sz w:val="22"/>
        </w:rPr>
        <w:t xml:space="preserve">Make sure encased sensors are </w:t>
      </w:r>
      <w:r w:rsidRPr="00351F8D">
        <w:rPr>
          <w:bCs/>
          <w:sz w:val="22"/>
          <w:u w:val="single"/>
        </w:rPr>
        <w:t>properly secured and anchored in the water column</w:t>
      </w:r>
      <w:r w:rsidRPr="00351F8D">
        <w:rPr>
          <w:bCs/>
          <w:sz w:val="22"/>
        </w:rPr>
        <w:t xml:space="preserve"> (on large flat rocks or blocks off the sediment) for all anticipated water levels and velocities for the duration of the deployment.  </w:t>
      </w:r>
      <w:r w:rsidR="00286E89" w:rsidRPr="00351F8D">
        <w:rPr>
          <w:bCs/>
          <w:sz w:val="22"/>
        </w:rPr>
        <w:t xml:space="preserve">VERTICAL ORIENTATION RECOMMNEDED.  </w:t>
      </w:r>
    </w:p>
    <w:p w:rsidR="00246F3C" w:rsidRPr="00351F8D" w:rsidRDefault="00246F3C" w:rsidP="00246F3C">
      <w:pPr>
        <w:numPr>
          <w:ilvl w:val="0"/>
          <w:numId w:val="13"/>
        </w:numPr>
        <w:rPr>
          <w:bCs/>
          <w:sz w:val="22"/>
        </w:rPr>
      </w:pPr>
      <w:r w:rsidRPr="00351F8D">
        <w:rPr>
          <w:bCs/>
          <w:sz w:val="22"/>
        </w:rPr>
        <w:t xml:space="preserve">High flows and velocities can be </w:t>
      </w:r>
      <w:proofErr w:type="gramStart"/>
      <w:r w:rsidRPr="00351F8D">
        <w:rPr>
          <w:bCs/>
          <w:sz w:val="22"/>
        </w:rPr>
        <w:t>mitigated</w:t>
      </w:r>
      <w:proofErr w:type="gramEnd"/>
      <w:r w:rsidRPr="00351F8D">
        <w:rPr>
          <w:bCs/>
          <w:sz w:val="22"/>
        </w:rPr>
        <w:t xml:space="preserve"> against by using the </w:t>
      </w:r>
      <w:r w:rsidRPr="00351F8D">
        <w:rPr>
          <w:bCs/>
          <w:sz w:val="22"/>
          <w:u w:val="single"/>
        </w:rPr>
        <w:t>largest rocks available</w:t>
      </w:r>
      <w:r w:rsidRPr="00351F8D">
        <w:rPr>
          <w:bCs/>
          <w:sz w:val="22"/>
        </w:rPr>
        <w:t xml:space="preserve"> to secure the tube in place AND anchoring the tube and cable to </w:t>
      </w:r>
      <w:r w:rsidRPr="00351F8D">
        <w:rPr>
          <w:bCs/>
          <w:sz w:val="22"/>
          <w:u w:val="single"/>
        </w:rPr>
        <w:t>fixed objects on shore</w:t>
      </w:r>
      <w:r w:rsidRPr="00351F8D">
        <w:rPr>
          <w:bCs/>
          <w:sz w:val="22"/>
        </w:rPr>
        <w:t xml:space="preserve"> (not large in-stream objects such as LWD).   For wider rivers, this may require the use of multiple cable lengths looped together.  For meandering rivers, avoid anchor trees on the outer banks that appear that they might be swept downstream in the next big rain event.  Inner bends are also problematic, as these are depositional areas where tubes can be buried under rocks and sediment as stream beds shift and realign.  </w:t>
      </w:r>
    </w:p>
    <w:p w:rsidR="00246F3C" w:rsidRPr="00351F8D" w:rsidRDefault="00246F3C" w:rsidP="00246F3C">
      <w:pPr>
        <w:numPr>
          <w:ilvl w:val="0"/>
          <w:numId w:val="13"/>
        </w:numPr>
        <w:rPr>
          <w:bCs/>
          <w:sz w:val="22"/>
        </w:rPr>
      </w:pPr>
      <w:r w:rsidRPr="00351F8D">
        <w:rPr>
          <w:bCs/>
          <w:sz w:val="22"/>
        </w:rPr>
        <w:t xml:space="preserve">For each deploy, </w:t>
      </w:r>
      <w:r w:rsidRPr="00351F8D">
        <w:rPr>
          <w:bCs/>
          <w:sz w:val="22"/>
          <w:u w:val="single"/>
        </w:rPr>
        <w:t>fix the tube as low as possible in the water column</w:t>
      </w:r>
      <w:r w:rsidRPr="00351F8D">
        <w:rPr>
          <w:bCs/>
          <w:sz w:val="22"/>
        </w:rPr>
        <w:t xml:space="preserve"> to mitigate against lowered water levels, due to natural summertime low flows and/or tidal fluctuations, water withdrawals, etc.  Use stable blocks to keep tube off the bottom for the duration of the deployment.  For deep slow-moving rivers, </w:t>
      </w:r>
    </w:p>
    <w:p w:rsidR="00246F3C" w:rsidRPr="00351F8D" w:rsidRDefault="00246F3C" w:rsidP="00246F3C">
      <w:pPr>
        <w:numPr>
          <w:ilvl w:val="0"/>
          <w:numId w:val="13"/>
        </w:numPr>
        <w:rPr>
          <w:bCs/>
          <w:sz w:val="22"/>
        </w:rPr>
      </w:pPr>
      <w:r w:rsidRPr="00351F8D">
        <w:rPr>
          <w:bCs/>
          <w:sz w:val="22"/>
          <w:u w:val="single"/>
        </w:rPr>
        <w:t>Beware of areas with recent or active beaver activity</w:t>
      </w:r>
      <w:r w:rsidRPr="00351F8D">
        <w:rPr>
          <w:bCs/>
          <w:sz w:val="22"/>
        </w:rPr>
        <w:t>. If such conditions exist or are anticipated, choose the largest diameter trees available and attempt to anchor the cable as low as possible at the tree base.  Alternatively, anchor to non-beaver food objects.</w:t>
      </w:r>
    </w:p>
    <w:p w:rsidR="00246F3C" w:rsidRPr="00351F8D" w:rsidRDefault="00246F3C" w:rsidP="00246F3C">
      <w:pPr>
        <w:numPr>
          <w:ilvl w:val="0"/>
          <w:numId w:val="13"/>
        </w:numPr>
        <w:rPr>
          <w:bCs/>
          <w:sz w:val="22"/>
        </w:rPr>
      </w:pPr>
      <w:r w:rsidRPr="00351F8D">
        <w:rPr>
          <w:bCs/>
          <w:sz w:val="22"/>
        </w:rPr>
        <w:t xml:space="preserve">Due to the </w:t>
      </w:r>
      <w:r w:rsidRPr="00351F8D">
        <w:rPr>
          <w:bCs/>
          <w:sz w:val="22"/>
          <w:u w:val="single"/>
        </w:rPr>
        <w:t>potential for older used locks to fail</w:t>
      </w:r>
      <w:r w:rsidRPr="00351F8D">
        <w:rPr>
          <w:bCs/>
          <w:sz w:val="22"/>
        </w:rPr>
        <w:t xml:space="preserve"> during the deployment, consider the use of additional mechanisms to secure the tube caps, such as cable/zip ties   </w:t>
      </w:r>
    </w:p>
    <w:p w:rsidR="00246F3C" w:rsidRPr="00351F8D" w:rsidRDefault="00246F3C" w:rsidP="00246F3C">
      <w:pPr>
        <w:numPr>
          <w:ilvl w:val="0"/>
          <w:numId w:val="13"/>
        </w:numPr>
        <w:rPr>
          <w:bCs/>
          <w:sz w:val="22"/>
          <w:u w:val="single"/>
        </w:rPr>
      </w:pPr>
      <w:r w:rsidRPr="00351F8D">
        <w:rPr>
          <w:bCs/>
          <w:sz w:val="22"/>
        </w:rPr>
        <w:t xml:space="preserve">During the deployment period, instruct crews performing other survey work to briefly inspect the deploy tube setup, and if problems have arisen since the last visit, to </w:t>
      </w:r>
      <w:r w:rsidRPr="00351F8D">
        <w:rPr>
          <w:bCs/>
          <w:sz w:val="22"/>
          <w:u w:val="single"/>
        </w:rPr>
        <w:t xml:space="preserve">rectify problems immediately and document actions on the deployment </w:t>
      </w:r>
      <w:proofErr w:type="spellStart"/>
      <w:r w:rsidRPr="00351F8D">
        <w:rPr>
          <w:bCs/>
          <w:sz w:val="22"/>
          <w:u w:val="single"/>
        </w:rPr>
        <w:t>fieldsheet</w:t>
      </w:r>
      <w:proofErr w:type="spellEnd"/>
      <w:r w:rsidRPr="00351F8D">
        <w:rPr>
          <w:bCs/>
          <w:sz w:val="22"/>
          <w:u w:val="single"/>
        </w:rPr>
        <w:t xml:space="preserve"> (back at the office).</w:t>
      </w:r>
    </w:p>
    <w:p w:rsidR="00246F3C" w:rsidRPr="00351F8D" w:rsidRDefault="00246F3C" w:rsidP="00246F3C">
      <w:pPr>
        <w:numPr>
          <w:ilvl w:val="0"/>
          <w:numId w:val="13"/>
        </w:numPr>
        <w:rPr>
          <w:bCs/>
          <w:sz w:val="22"/>
        </w:rPr>
      </w:pPr>
      <w:r w:rsidRPr="00351F8D">
        <w:rPr>
          <w:bCs/>
          <w:sz w:val="22"/>
        </w:rPr>
        <w:t>Place in locations that are well mixed horizontally and vertically, and outside any mixing zones from discharges.</w:t>
      </w:r>
      <w:r w:rsidR="00286E89" w:rsidRPr="00351F8D">
        <w:rPr>
          <w:bCs/>
          <w:sz w:val="22"/>
        </w:rPr>
        <w:t xml:space="preserve">  </w:t>
      </w:r>
      <w:r w:rsidRPr="00351F8D">
        <w:rPr>
          <w:bCs/>
          <w:sz w:val="22"/>
        </w:rPr>
        <w:t xml:space="preserve">For placements downstream of a discharge, keep the sensor as close to the discharge as possible without mixing zone effects (site-specific).   </w:t>
      </w:r>
    </w:p>
    <w:p w:rsidR="00286E89" w:rsidRPr="00351F8D" w:rsidRDefault="00286E89" w:rsidP="00286E89">
      <w:pPr>
        <w:ind w:left="720"/>
        <w:rPr>
          <w:bCs/>
          <w:sz w:val="22"/>
        </w:rPr>
      </w:pPr>
    </w:p>
    <w:p w:rsidR="00246F3C" w:rsidRPr="00351F8D" w:rsidRDefault="00246F3C" w:rsidP="00246F3C">
      <w:pPr>
        <w:pStyle w:val="InsideAddress"/>
        <w:rPr>
          <w:sz w:val="22"/>
          <w:szCs w:val="24"/>
        </w:rPr>
      </w:pPr>
      <w:r w:rsidRPr="00351F8D">
        <w:rPr>
          <w:sz w:val="22"/>
          <w:szCs w:val="24"/>
          <w:u w:val="single"/>
        </w:rPr>
        <w:t>Field Quality Control Sampling</w:t>
      </w:r>
      <w:r w:rsidRPr="00351F8D">
        <w:rPr>
          <w:sz w:val="22"/>
          <w:szCs w:val="24"/>
        </w:rPr>
        <w:t xml:space="preserve">:  </w:t>
      </w:r>
    </w:p>
    <w:p w:rsidR="00286E89" w:rsidRPr="00351F8D" w:rsidRDefault="00246F3C" w:rsidP="00246F3C">
      <w:pPr>
        <w:pStyle w:val="InsideAddress"/>
        <w:numPr>
          <w:ilvl w:val="0"/>
          <w:numId w:val="5"/>
        </w:numPr>
        <w:rPr>
          <w:sz w:val="22"/>
          <w:szCs w:val="22"/>
        </w:rPr>
      </w:pPr>
      <w:r w:rsidRPr="00351F8D">
        <w:rPr>
          <w:sz w:val="22"/>
          <w:szCs w:val="22"/>
        </w:rPr>
        <w:t xml:space="preserve">Perform adequate quality control </w:t>
      </w:r>
      <w:r w:rsidR="00286E89" w:rsidRPr="00351F8D">
        <w:rPr>
          <w:sz w:val="22"/>
          <w:szCs w:val="22"/>
        </w:rPr>
        <w:t>ac</w:t>
      </w:r>
      <w:r w:rsidRPr="00351F8D">
        <w:rPr>
          <w:sz w:val="22"/>
          <w:szCs w:val="22"/>
        </w:rPr>
        <w:t>curacy checks</w:t>
      </w:r>
      <w:r w:rsidR="00286E89" w:rsidRPr="00351F8D">
        <w:rPr>
          <w:sz w:val="22"/>
          <w:szCs w:val="22"/>
        </w:rPr>
        <w:t>.</w:t>
      </w:r>
      <w:r w:rsidRPr="00351F8D">
        <w:rPr>
          <w:sz w:val="22"/>
          <w:szCs w:val="22"/>
        </w:rPr>
        <w:t xml:space="preserve"> Co-located, simultaneous measurements are preferred.  </w:t>
      </w:r>
    </w:p>
    <w:p w:rsidR="004A6BC1" w:rsidRDefault="00246F3C" w:rsidP="00246F3C">
      <w:pPr>
        <w:pStyle w:val="InsideAddress"/>
        <w:numPr>
          <w:ilvl w:val="0"/>
          <w:numId w:val="5"/>
        </w:numPr>
        <w:rPr>
          <w:sz w:val="22"/>
          <w:szCs w:val="22"/>
        </w:rPr>
      </w:pPr>
      <w:r w:rsidRPr="00351F8D">
        <w:rPr>
          <w:sz w:val="22"/>
          <w:szCs w:val="22"/>
        </w:rPr>
        <w:t>Consider duplicate (side-by-side) deployed sensors to estimate sampling</w:t>
      </w:r>
      <w:r w:rsidRPr="004A6BC1">
        <w:rPr>
          <w:sz w:val="22"/>
          <w:szCs w:val="22"/>
        </w:rPr>
        <w:t xml:space="preserve"> precision</w:t>
      </w:r>
      <w:r w:rsidR="004A6BC1" w:rsidRPr="004A6BC1">
        <w:rPr>
          <w:sz w:val="22"/>
          <w:szCs w:val="22"/>
        </w:rPr>
        <w:t xml:space="preserve"> for the loggers, if possible</w:t>
      </w:r>
    </w:p>
    <w:p w:rsidR="00246F3C" w:rsidRPr="004A6BC1" w:rsidRDefault="004A6BC1" w:rsidP="00246F3C">
      <w:pPr>
        <w:pStyle w:val="InsideAddress"/>
        <w:numPr>
          <w:ilvl w:val="0"/>
          <w:numId w:val="5"/>
        </w:numPr>
        <w:rPr>
          <w:sz w:val="22"/>
          <w:szCs w:val="22"/>
        </w:rPr>
      </w:pPr>
      <w:r>
        <w:rPr>
          <w:sz w:val="22"/>
          <w:szCs w:val="22"/>
        </w:rPr>
        <w:t>Be</w:t>
      </w:r>
      <w:r w:rsidR="00246F3C" w:rsidRPr="004A6BC1">
        <w:rPr>
          <w:sz w:val="22"/>
          <w:szCs w:val="22"/>
        </w:rPr>
        <w:t>ware that one or more sensors may fail before or during the monitoring period.  Have additional, back-up sensors on hand to replace failed sensors.  Weekly, bi-weekly or monthly data downloads using a “shuttle” device or laptop can be employed to verify sensors are in working order.</w:t>
      </w:r>
    </w:p>
    <w:p w:rsidR="00246F3C" w:rsidRPr="000E61A5" w:rsidRDefault="00246F3C" w:rsidP="00246F3C">
      <w:pPr>
        <w:pStyle w:val="InsideAddress"/>
        <w:rPr>
          <w:sz w:val="22"/>
          <w:szCs w:val="22"/>
        </w:rPr>
      </w:pPr>
    </w:p>
    <w:p w:rsidR="00246F3C" w:rsidRPr="000E61A5" w:rsidRDefault="00246F3C" w:rsidP="00246F3C">
      <w:pPr>
        <w:pStyle w:val="InsideAddress"/>
        <w:rPr>
          <w:sz w:val="22"/>
          <w:szCs w:val="22"/>
        </w:rPr>
      </w:pPr>
      <w:r w:rsidRPr="000E61A5">
        <w:rPr>
          <w:sz w:val="22"/>
          <w:szCs w:val="22"/>
          <w:u w:val="single"/>
        </w:rPr>
        <w:t>Data Upload and Post-Deploy QC</w:t>
      </w:r>
      <w:r w:rsidRPr="000E61A5">
        <w:rPr>
          <w:sz w:val="22"/>
          <w:szCs w:val="22"/>
        </w:rPr>
        <w:t xml:space="preserve">: </w:t>
      </w:r>
    </w:p>
    <w:p w:rsidR="00246F3C" w:rsidRPr="000E61A5" w:rsidRDefault="00246F3C" w:rsidP="00246F3C">
      <w:pPr>
        <w:pStyle w:val="InsideAddress"/>
        <w:numPr>
          <w:ilvl w:val="0"/>
          <w:numId w:val="9"/>
        </w:numPr>
        <w:rPr>
          <w:sz w:val="22"/>
          <w:szCs w:val="22"/>
        </w:rPr>
      </w:pPr>
      <w:r w:rsidRPr="000E61A5">
        <w:rPr>
          <w:sz w:val="22"/>
          <w:szCs w:val="22"/>
        </w:rPr>
        <w:t xml:space="preserve">After all units have been retrieved and cleaned, use Hobo software with base station to upload data from loggers to PC (READOUT).  Set units to </w:t>
      </w:r>
      <w:r w:rsidRPr="000E61A5">
        <w:rPr>
          <w:b/>
          <w:sz w:val="22"/>
          <w:szCs w:val="22"/>
        </w:rPr>
        <w:t xml:space="preserve">degrees Celsius </w:t>
      </w:r>
      <w:r w:rsidRPr="000E61A5">
        <w:rPr>
          <w:sz w:val="22"/>
          <w:szCs w:val="22"/>
        </w:rPr>
        <w:t>for uploaded files.</w:t>
      </w:r>
    </w:p>
    <w:p w:rsidR="00246F3C" w:rsidRPr="000E61A5" w:rsidRDefault="00246F3C" w:rsidP="00246F3C">
      <w:pPr>
        <w:pStyle w:val="InsideAddress"/>
        <w:numPr>
          <w:ilvl w:val="0"/>
          <w:numId w:val="9"/>
        </w:numPr>
        <w:rPr>
          <w:b/>
          <w:bCs/>
          <w:sz w:val="22"/>
          <w:u w:val="single"/>
        </w:rPr>
      </w:pPr>
      <w:r w:rsidRPr="000E61A5">
        <w:rPr>
          <w:sz w:val="22"/>
          <w:szCs w:val="22"/>
        </w:rPr>
        <w:t xml:space="preserve">Retain original raw </w:t>
      </w:r>
      <w:r w:rsidRPr="000E61A5">
        <w:rPr>
          <w:sz w:val="22"/>
        </w:rPr>
        <w:t>uploaded files in Hobo software (unaltered) and also export files to EXCEL (.</w:t>
      </w:r>
      <w:proofErr w:type="spellStart"/>
      <w:r w:rsidRPr="000E61A5">
        <w:rPr>
          <w:sz w:val="22"/>
        </w:rPr>
        <w:t>csv</w:t>
      </w:r>
      <w:proofErr w:type="spellEnd"/>
      <w:r w:rsidRPr="000E61A5">
        <w:rPr>
          <w:sz w:val="22"/>
        </w:rPr>
        <w:t>) as read-only.</w:t>
      </w:r>
    </w:p>
    <w:p w:rsidR="00246F3C" w:rsidRPr="000E61A5" w:rsidRDefault="00246F3C" w:rsidP="00246F3C">
      <w:pPr>
        <w:pStyle w:val="InsideAddress"/>
        <w:numPr>
          <w:ilvl w:val="0"/>
          <w:numId w:val="9"/>
        </w:numPr>
        <w:rPr>
          <w:b/>
          <w:bCs/>
          <w:sz w:val="22"/>
          <w:u w:val="single"/>
        </w:rPr>
      </w:pPr>
      <w:r w:rsidRPr="000E61A5">
        <w:rPr>
          <w:sz w:val="22"/>
        </w:rPr>
        <w:t xml:space="preserve">All data files are stored electronically at DWM offices in Worcester, MA. </w:t>
      </w:r>
      <w:proofErr w:type="gramStart"/>
      <w:r w:rsidRPr="000E61A5">
        <w:rPr>
          <w:sz w:val="22"/>
        </w:rPr>
        <w:t>to</w:t>
      </w:r>
      <w:proofErr w:type="gramEnd"/>
      <w:r w:rsidRPr="000E61A5">
        <w:rPr>
          <w:sz w:val="22"/>
        </w:rPr>
        <w:t xml:space="preserve"> C:/ (</w:t>
      </w:r>
      <w:proofErr w:type="gramStart"/>
      <w:r w:rsidRPr="000E61A5">
        <w:rPr>
          <w:sz w:val="22"/>
        </w:rPr>
        <w:t>working</w:t>
      </w:r>
      <w:proofErr w:type="gramEnd"/>
      <w:r w:rsidRPr="000E61A5">
        <w:rPr>
          <w:sz w:val="22"/>
        </w:rPr>
        <w:t xml:space="preserve"> PC); W:/sop/temp (network temporary); W:/dwm/</w:t>
      </w:r>
      <w:r w:rsidR="004A6BC1">
        <w:rPr>
          <w:sz w:val="22"/>
        </w:rPr>
        <w:t>data</w:t>
      </w:r>
      <w:r w:rsidRPr="000E61A5">
        <w:rPr>
          <w:sz w:val="22"/>
        </w:rPr>
        <w:t>/</w:t>
      </w:r>
      <w:r w:rsidR="004A6BC1">
        <w:rPr>
          <w:sz w:val="22"/>
        </w:rPr>
        <w:t>rawdata</w:t>
      </w:r>
      <w:r w:rsidRPr="000E61A5">
        <w:rPr>
          <w:sz w:val="22"/>
        </w:rPr>
        <w:t xml:space="preserve">/year data/temperature; and in secure database areas.  </w:t>
      </w:r>
      <w:r w:rsidRPr="000E61A5">
        <w:rPr>
          <w:b/>
          <w:bCs/>
          <w:sz w:val="22"/>
          <w:u w:val="single"/>
        </w:rPr>
        <w:t xml:space="preserve"> Immediately after upload, contact DB Manager and QA Officer for import to protected network locations.</w:t>
      </w:r>
    </w:p>
    <w:p w:rsidR="00246F3C" w:rsidRPr="000E61A5" w:rsidRDefault="00246F3C" w:rsidP="00246F3C">
      <w:pPr>
        <w:pStyle w:val="InsideAddress"/>
        <w:numPr>
          <w:ilvl w:val="0"/>
          <w:numId w:val="9"/>
        </w:numPr>
        <w:rPr>
          <w:sz w:val="22"/>
          <w:szCs w:val="24"/>
        </w:rPr>
      </w:pPr>
      <w:r w:rsidRPr="000E61A5">
        <w:rPr>
          <w:sz w:val="22"/>
          <w:szCs w:val="24"/>
        </w:rPr>
        <w:t xml:space="preserve">Use uploaded files for processing, validation and analysis. </w:t>
      </w:r>
    </w:p>
    <w:p w:rsidR="00246F3C" w:rsidRPr="000E61A5" w:rsidRDefault="00246F3C" w:rsidP="00246F3C">
      <w:pPr>
        <w:pStyle w:val="InsideAddress"/>
        <w:numPr>
          <w:ilvl w:val="0"/>
          <w:numId w:val="9"/>
        </w:numPr>
        <w:rPr>
          <w:sz w:val="22"/>
          <w:szCs w:val="24"/>
        </w:rPr>
      </w:pPr>
      <w:r w:rsidRPr="000E61A5">
        <w:rPr>
          <w:sz w:val="22"/>
          <w:szCs w:val="24"/>
        </w:rPr>
        <w:t>Perform post-deploy QC</w:t>
      </w:r>
      <w:r w:rsidR="004A6BC1">
        <w:rPr>
          <w:sz w:val="22"/>
          <w:szCs w:val="24"/>
        </w:rPr>
        <w:t xml:space="preserve"> by checking sensors against specific conductance standard solution.</w:t>
      </w:r>
    </w:p>
    <w:p w:rsidR="00246F3C" w:rsidRPr="000E61A5" w:rsidRDefault="00246F3C" w:rsidP="00246F3C">
      <w:pPr>
        <w:pStyle w:val="InsideAddress"/>
        <w:rPr>
          <w:sz w:val="22"/>
          <w:szCs w:val="24"/>
        </w:rPr>
      </w:pPr>
    </w:p>
    <w:p w:rsidR="00246F3C" w:rsidRPr="000E61A5" w:rsidRDefault="00246F3C" w:rsidP="00246F3C">
      <w:pPr>
        <w:pStyle w:val="InsideAddress"/>
        <w:rPr>
          <w:sz w:val="22"/>
          <w:szCs w:val="24"/>
        </w:rPr>
      </w:pPr>
      <w:r w:rsidRPr="000E61A5">
        <w:rPr>
          <w:sz w:val="22"/>
          <w:szCs w:val="24"/>
          <w:u w:val="single"/>
        </w:rPr>
        <w:t>Data Validation</w:t>
      </w:r>
      <w:r w:rsidRPr="000E61A5">
        <w:rPr>
          <w:sz w:val="22"/>
          <w:szCs w:val="24"/>
        </w:rPr>
        <w:t>:</w:t>
      </w:r>
    </w:p>
    <w:p w:rsidR="004A6BC1" w:rsidRDefault="00246F3C" w:rsidP="004A6BC1">
      <w:pPr>
        <w:rPr>
          <w:sz w:val="22"/>
        </w:rPr>
      </w:pPr>
      <w:r w:rsidRPr="000E61A5">
        <w:rPr>
          <w:sz w:val="22"/>
        </w:rPr>
        <w:t xml:space="preserve">Data generated through the use of continuous temperature sensors must be validated prior to use.  This </w:t>
      </w:r>
      <w:r w:rsidR="004A6BC1">
        <w:rPr>
          <w:sz w:val="22"/>
        </w:rPr>
        <w:t>is</w:t>
      </w:r>
      <w:r w:rsidRPr="000E61A5">
        <w:rPr>
          <w:sz w:val="22"/>
        </w:rPr>
        <w:t xml:space="preserve"> performed by DWM’s QA Analyst</w:t>
      </w:r>
      <w:r w:rsidR="004A6BC1">
        <w:rPr>
          <w:sz w:val="22"/>
        </w:rPr>
        <w:t xml:space="preserve"> or database staff per WPP standard procedures.</w:t>
      </w:r>
    </w:p>
    <w:p w:rsidR="00FB3056" w:rsidRDefault="00FB3056" w:rsidP="004A6BC1">
      <w:pPr>
        <w:rPr>
          <w:sz w:val="22"/>
        </w:rPr>
      </w:pPr>
    </w:p>
    <w:p w:rsidR="00FB3056" w:rsidRPr="00FB3056" w:rsidRDefault="00FB3056" w:rsidP="004A6BC1">
      <w:pPr>
        <w:rPr>
          <w:color w:val="FF0000"/>
          <w:sz w:val="22"/>
        </w:rPr>
      </w:pPr>
      <w:r w:rsidRPr="00FB3056">
        <w:rPr>
          <w:color w:val="FF0000"/>
          <w:sz w:val="22"/>
        </w:rPr>
        <w:t>Time corrections due to EST/DST shifts….</w:t>
      </w:r>
    </w:p>
    <w:p w:rsidR="004A6BC1" w:rsidRDefault="004A6BC1" w:rsidP="004A6BC1">
      <w:pPr>
        <w:rPr>
          <w:sz w:val="22"/>
        </w:rPr>
      </w:pPr>
    </w:p>
    <w:p w:rsidR="00246F3C" w:rsidRPr="000E61A5" w:rsidRDefault="00246F3C" w:rsidP="00246F3C">
      <w:pPr>
        <w:pStyle w:val="InsideAddress"/>
        <w:rPr>
          <w:sz w:val="22"/>
        </w:rPr>
      </w:pPr>
    </w:p>
    <w:p w:rsidR="00246F3C" w:rsidRPr="000E61A5" w:rsidRDefault="00246F3C" w:rsidP="00246F3C">
      <w:pPr>
        <w:pStyle w:val="InsideAddress"/>
        <w:rPr>
          <w:b/>
          <w:sz w:val="24"/>
        </w:rPr>
      </w:pPr>
      <w:r w:rsidRPr="000E61A5">
        <w:rPr>
          <w:b/>
          <w:sz w:val="24"/>
        </w:rPr>
        <w:t>9.0</w:t>
      </w:r>
      <w:r w:rsidRPr="000E61A5">
        <w:rPr>
          <w:b/>
          <w:sz w:val="24"/>
        </w:rPr>
        <w:tab/>
        <w:t>QUALITY CONTROL</w:t>
      </w:r>
    </w:p>
    <w:p w:rsidR="00246F3C" w:rsidRPr="000E61A5" w:rsidRDefault="00246F3C" w:rsidP="00246F3C">
      <w:pPr>
        <w:rPr>
          <w:rFonts w:ascii="Verdana" w:hAnsi="Verdana" w:cs="Microsoft Sans Serif"/>
          <w:sz w:val="22"/>
        </w:rPr>
      </w:pPr>
    </w:p>
    <w:p w:rsidR="00246F3C" w:rsidRPr="000E61A5" w:rsidRDefault="00246F3C" w:rsidP="00246F3C">
      <w:pPr>
        <w:rPr>
          <w:sz w:val="22"/>
        </w:rPr>
      </w:pPr>
      <w:r w:rsidRPr="000E61A5">
        <w:rPr>
          <w:sz w:val="22"/>
        </w:rPr>
        <w:t xml:space="preserve">Typical </w:t>
      </w:r>
      <w:r w:rsidRPr="000E61A5">
        <w:rPr>
          <w:sz w:val="22"/>
          <w:u w:val="single"/>
        </w:rPr>
        <w:t>data quality objectives</w:t>
      </w:r>
      <w:r w:rsidRPr="000E61A5">
        <w:rPr>
          <w:sz w:val="22"/>
        </w:rPr>
        <w:t xml:space="preserve"> (DQOs) for use of continuous </w:t>
      </w:r>
      <w:r w:rsidR="004A6BC1">
        <w:rPr>
          <w:sz w:val="22"/>
        </w:rPr>
        <w:t>conductivity</w:t>
      </w:r>
      <w:r w:rsidRPr="000E61A5">
        <w:rPr>
          <w:sz w:val="22"/>
        </w:rPr>
        <w:t xml:space="preserve"> sensors are as follows:</w:t>
      </w:r>
    </w:p>
    <w:p w:rsidR="00246F3C" w:rsidRPr="000E61A5" w:rsidRDefault="00246F3C" w:rsidP="00246F3C">
      <w:pPr>
        <w:rPr>
          <w:sz w:val="22"/>
        </w:rPr>
      </w:pPr>
    </w:p>
    <w:p w:rsidR="00246F3C" w:rsidRPr="000E61A5" w:rsidRDefault="00246F3C" w:rsidP="00246F3C">
      <w:pPr>
        <w:pStyle w:val="InsideAddress"/>
        <w:rPr>
          <w:sz w:val="22"/>
          <w:szCs w:val="24"/>
        </w:rPr>
      </w:pPr>
      <w:r w:rsidRPr="000E61A5">
        <w:rPr>
          <w:sz w:val="22"/>
          <w:szCs w:val="24"/>
        </w:rPr>
        <w:t xml:space="preserve">Table 1:  DQOs for Continuous </w:t>
      </w:r>
      <w:r w:rsidR="00013265">
        <w:rPr>
          <w:sz w:val="22"/>
          <w:szCs w:val="24"/>
        </w:rPr>
        <w:t>COND/</w:t>
      </w:r>
      <w:r w:rsidRPr="000E61A5">
        <w:rPr>
          <w:sz w:val="22"/>
          <w:szCs w:val="24"/>
        </w:rPr>
        <w:t>Temperature Sensors</w:t>
      </w:r>
      <w:r w:rsidRPr="000E61A5">
        <w:rPr>
          <w:sz w:val="22"/>
          <w:szCs w:val="24"/>
        </w:rPr>
        <w:tab/>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0"/>
        <w:gridCol w:w="990"/>
        <w:gridCol w:w="1084"/>
        <w:gridCol w:w="2336"/>
        <w:gridCol w:w="1260"/>
        <w:gridCol w:w="2520"/>
      </w:tblGrid>
      <w:tr w:rsidR="00246F3C" w:rsidRPr="000E61A5" w:rsidTr="004A6BC1">
        <w:tc>
          <w:tcPr>
            <w:tcW w:w="1530" w:type="dxa"/>
            <w:shd w:val="clear" w:color="auto" w:fill="D9D9D9"/>
            <w:vAlign w:val="center"/>
          </w:tcPr>
          <w:p w:rsidR="00246F3C" w:rsidRPr="000E61A5" w:rsidRDefault="00246F3C" w:rsidP="004A6BC1">
            <w:pPr>
              <w:pStyle w:val="BodyText"/>
              <w:rPr>
                <w:b/>
                <w:bCs/>
                <w:sz w:val="22"/>
              </w:rPr>
            </w:pPr>
            <w:proofErr w:type="spellStart"/>
            <w:r w:rsidRPr="000E61A5">
              <w:rPr>
                <w:b/>
                <w:bCs/>
                <w:sz w:val="22"/>
              </w:rPr>
              <w:t>Analyte</w:t>
            </w:r>
            <w:proofErr w:type="spellEnd"/>
          </w:p>
        </w:tc>
        <w:tc>
          <w:tcPr>
            <w:tcW w:w="990" w:type="dxa"/>
            <w:shd w:val="clear" w:color="auto" w:fill="D9D9D9"/>
            <w:vAlign w:val="center"/>
          </w:tcPr>
          <w:p w:rsidR="00246F3C" w:rsidRPr="000E61A5" w:rsidRDefault="00246F3C" w:rsidP="004A6BC1">
            <w:pPr>
              <w:pStyle w:val="BodyText"/>
              <w:rPr>
                <w:b/>
                <w:bCs/>
                <w:sz w:val="22"/>
              </w:rPr>
            </w:pPr>
            <w:r w:rsidRPr="000E61A5">
              <w:rPr>
                <w:b/>
                <w:bCs/>
                <w:sz w:val="22"/>
              </w:rPr>
              <w:t>Units</w:t>
            </w:r>
          </w:p>
        </w:tc>
        <w:tc>
          <w:tcPr>
            <w:tcW w:w="1084" w:type="dxa"/>
            <w:shd w:val="clear" w:color="auto" w:fill="D9D9D9"/>
            <w:vAlign w:val="center"/>
          </w:tcPr>
          <w:p w:rsidR="00246F3C" w:rsidRPr="000E61A5" w:rsidRDefault="00246F3C" w:rsidP="004A6BC1">
            <w:pPr>
              <w:pStyle w:val="BodyText"/>
              <w:rPr>
                <w:b/>
                <w:bCs/>
                <w:sz w:val="22"/>
              </w:rPr>
            </w:pPr>
            <w:r w:rsidRPr="000E61A5">
              <w:rPr>
                <w:b/>
                <w:bCs/>
                <w:sz w:val="22"/>
              </w:rPr>
              <w:t>Expected Range</w:t>
            </w:r>
          </w:p>
        </w:tc>
        <w:tc>
          <w:tcPr>
            <w:tcW w:w="2336" w:type="dxa"/>
            <w:shd w:val="clear" w:color="auto" w:fill="D9D9D9"/>
            <w:vAlign w:val="center"/>
          </w:tcPr>
          <w:p w:rsidR="00246F3C" w:rsidRPr="000E61A5" w:rsidRDefault="00246F3C" w:rsidP="004A6BC1">
            <w:pPr>
              <w:pStyle w:val="BodyText"/>
              <w:rPr>
                <w:b/>
                <w:bCs/>
                <w:sz w:val="22"/>
              </w:rPr>
            </w:pPr>
            <w:r w:rsidRPr="000E61A5">
              <w:rPr>
                <w:b/>
                <w:bCs/>
                <w:sz w:val="22"/>
              </w:rPr>
              <w:t>Accuracy (+/-)</w:t>
            </w:r>
          </w:p>
        </w:tc>
        <w:tc>
          <w:tcPr>
            <w:tcW w:w="1260" w:type="dxa"/>
            <w:shd w:val="clear" w:color="auto" w:fill="D9D9D9"/>
            <w:vAlign w:val="center"/>
          </w:tcPr>
          <w:p w:rsidR="00246F3C" w:rsidRPr="000E61A5" w:rsidRDefault="00246F3C" w:rsidP="004A6BC1">
            <w:pPr>
              <w:pStyle w:val="BodyText"/>
              <w:rPr>
                <w:b/>
                <w:bCs/>
                <w:sz w:val="22"/>
              </w:rPr>
            </w:pPr>
            <w:r w:rsidRPr="000E61A5">
              <w:rPr>
                <w:b/>
                <w:bCs/>
                <w:sz w:val="22"/>
              </w:rPr>
              <w:t>Resolution</w:t>
            </w:r>
          </w:p>
        </w:tc>
        <w:tc>
          <w:tcPr>
            <w:tcW w:w="2520" w:type="dxa"/>
            <w:shd w:val="clear" w:color="auto" w:fill="D9D9D9"/>
            <w:vAlign w:val="center"/>
          </w:tcPr>
          <w:p w:rsidR="00246F3C" w:rsidRPr="000E61A5" w:rsidRDefault="00246F3C" w:rsidP="004A6BC1">
            <w:pPr>
              <w:pStyle w:val="BodyText"/>
              <w:rPr>
                <w:b/>
                <w:bCs/>
                <w:sz w:val="22"/>
              </w:rPr>
            </w:pPr>
            <w:r w:rsidRPr="000E61A5">
              <w:rPr>
                <w:b/>
                <w:bCs/>
                <w:sz w:val="22"/>
              </w:rPr>
              <w:t>Overall Precision (RPD)</w:t>
            </w:r>
          </w:p>
        </w:tc>
      </w:tr>
      <w:tr w:rsidR="00351F8D" w:rsidRPr="000E61A5" w:rsidTr="004A6BC1">
        <w:tc>
          <w:tcPr>
            <w:tcW w:w="1530" w:type="dxa"/>
            <w:vAlign w:val="center"/>
          </w:tcPr>
          <w:p w:rsidR="00351F8D" w:rsidRPr="000E61A5" w:rsidRDefault="00351F8D" w:rsidP="004A6BC1">
            <w:pPr>
              <w:pStyle w:val="BodyText"/>
              <w:rPr>
                <w:sz w:val="22"/>
              </w:rPr>
            </w:pPr>
            <w:r>
              <w:rPr>
                <w:sz w:val="22"/>
              </w:rPr>
              <w:t>Conductivity</w:t>
            </w:r>
          </w:p>
        </w:tc>
        <w:tc>
          <w:tcPr>
            <w:tcW w:w="990" w:type="dxa"/>
            <w:vAlign w:val="center"/>
          </w:tcPr>
          <w:p w:rsidR="00351F8D" w:rsidRPr="000E61A5" w:rsidRDefault="00351F8D" w:rsidP="004A6BC1">
            <w:pPr>
              <w:pStyle w:val="BodyText"/>
              <w:rPr>
                <w:sz w:val="22"/>
              </w:rPr>
            </w:pPr>
            <w:proofErr w:type="spellStart"/>
            <w:r>
              <w:rPr>
                <w:sz w:val="22"/>
              </w:rPr>
              <w:t>uS</w:t>
            </w:r>
            <w:proofErr w:type="spellEnd"/>
            <w:r>
              <w:rPr>
                <w:sz w:val="22"/>
              </w:rPr>
              <w:t>/cm</w:t>
            </w:r>
          </w:p>
        </w:tc>
        <w:tc>
          <w:tcPr>
            <w:tcW w:w="1084" w:type="dxa"/>
            <w:vAlign w:val="center"/>
          </w:tcPr>
          <w:p w:rsidR="00351F8D" w:rsidRPr="000E61A5" w:rsidRDefault="00351F8D" w:rsidP="004A6BC1">
            <w:pPr>
              <w:pStyle w:val="BodyText"/>
              <w:rPr>
                <w:sz w:val="22"/>
              </w:rPr>
            </w:pPr>
            <w:r>
              <w:rPr>
                <w:sz w:val="22"/>
              </w:rPr>
              <w:t>Low and high ranges</w:t>
            </w:r>
          </w:p>
        </w:tc>
        <w:tc>
          <w:tcPr>
            <w:tcW w:w="2336" w:type="dxa"/>
            <w:vAlign w:val="center"/>
          </w:tcPr>
          <w:p w:rsidR="00351F8D" w:rsidRDefault="00351F8D" w:rsidP="004A6BC1">
            <w:pPr>
              <w:pStyle w:val="BodyText"/>
              <w:rPr>
                <w:sz w:val="22"/>
              </w:rPr>
            </w:pPr>
            <w:r>
              <w:rPr>
                <w:sz w:val="22"/>
              </w:rPr>
              <w:t xml:space="preserve">3% or </w:t>
            </w:r>
            <w:r w:rsidR="00263B79">
              <w:rPr>
                <w:sz w:val="22"/>
              </w:rPr>
              <w:t>1</w:t>
            </w:r>
            <w:r>
              <w:rPr>
                <w:sz w:val="22"/>
              </w:rPr>
              <w:t xml:space="preserve">5 </w:t>
            </w:r>
            <w:proofErr w:type="spellStart"/>
            <w:r>
              <w:rPr>
                <w:sz w:val="22"/>
              </w:rPr>
              <w:t>uS</w:t>
            </w:r>
            <w:proofErr w:type="spellEnd"/>
            <w:r>
              <w:rPr>
                <w:sz w:val="22"/>
              </w:rPr>
              <w:t>/cm (low)</w:t>
            </w:r>
          </w:p>
          <w:p w:rsidR="00351F8D" w:rsidRDefault="00351F8D" w:rsidP="00263B79">
            <w:pPr>
              <w:pStyle w:val="BodyText"/>
              <w:rPr>
                <w:sz w:val="22"/>
              </w:rPr>
            </w:pPr>
            <w:r>
              <w:rPr>
                <w:sz w:val="22"/>
              </w:rPr>
              <w:t xml:space="preserve">3% or </w:t>
            </w:r>
            <w:r w:rsidR="00263B79">
              <w:rPr>
                <w:sz w:val="22"/>
              </w:rPr>
              <w:t>3</w:t>
            </w:r>
            <w:r>
              <w:rPr>
                <w:sz w:val="22"/>
              </w:rPr>
              <w:t>0uS/cm (high)</w:t>
            </w:r>
          </w:p>
          <w:p w:rsidR="00263B79" w:rsidRDefault="00263B79" w:rsidP="00263B79">
            <w:pPr>
              <w:pStyle w:val="BodyText"/>
              <w:rPr>
                <w:sz w:val="22"/>
              </w:rPr>
            </w:pPr>
            <w:r>
              <w:rPr>
                <w:sz w:val="22"/>
              </w:rPr>
              <w:t>(vs. lab standard)</w:t>
            </w:r>
          </w:p>
          <w:p w:rsidR="00CF4232" w:rsidRDefault="00CF4232" w:rsidP="00263B79">
            <w:pPr>
              <w:pStyle w:val="BodyText"/>
              <w:rPr>
                <w:sz w:val="22"/>
              </w:rPr>
            </w:pPr>
          </w:p>
          <w:p w:rsidR="00CF4232" w:rsidRPr="000E61A5" w:rsidRDefault="00CF4232" w:rsidP="00CF4232">
            <w:pPr>
              <w:pStyle w:val="BodyText"/>
              <w:rPr>
                <w:sz w:val="22"/>
              </w:rPr>
            </w:pPr>
            <w:r>
              <w:rPr>
                <w:sz w:val="22"/>
              </w:rPr>
              <w:t>5% RPD (calculated SC vs. lab standard SC)</w:t>
            </w:r>
            <w:bookmarkStart w:id="1" w:name="_GoBack"/>
            <w:bookmarkEnd w:id="1"/>
            <w:r>
              <w:rPr>
                <w:sz w:val="22"/>
              </w:rPr>
              <w:t xml:space="preserve"> </w:t>
            </w:r>
          </w:p>
        </w:tc>
        <w:tc>
          <w:tcPr>
            <w:tcW w:w="1260" w:type="dxa"/>
            <w:vAlign w:val="center"/>
          </w:tcPr>
          <w:p w:rsidR="00351F8D" w:rsidRPr="000E61A5" w:rsidRDefault="00351F8D" w:rsidP="004A6BC1">
            <w:pPr>
              <w:pStyle w:val="BodyText"/>
              <w:rPr>
                <w:sz w:val="22"/>
              </w:rPr>
            </w:pPr>
            <w:r>
              <w:rPr>
                <w:sz w:val="22"/>
              </w:rPr>
              <w:t xml:space="preserve">1 </w:t>
            </w:r>
            <w:proofErr w:type="spellStart"/>
            <w:r>
              <w:rPr>
                <w:sz w:val="22"/>
              </w:rPr>
              <w:t>uS</w:t>
            </w:r>
            <w:proofErr w:type="spellEnd"/>
            <w:r>
              <w:rPr>
                <w:sz w:val="22"/>
              </w:rPr>
              <w:t>/cm</w:t>
            </w:r>
          </w:p>
        </w:tc>
        <w:tc>
          <w:tcPr>
            <w:tcW w:w="2520" w:type="dxa"/>
            <w:vAlign w:val="center"/>
          </w:tcPr>
          <w:p w:rsidR="00351F8D" w:rsidRDefault="00351F8D" w:rsidP="00351F8D">
            <w:pPr>
              <w:pStyle w:val="BodyText"/>
              <w:rPr>
                <w:sz w:val="22"/>
              </w:rPr>
            </w:pPr>
            <w:r>
              <w:rPr>
                <w:sz w:val="22"/>
              </w:rPr>
              <w:t xml:space="preserve">+/- 10 </w:t>
            </w:r>
            <w:proofErr w:type="spellStart"/>
            <w:r>
              <w:rPr>
                <w:sz w:val="22"/>
              </w:rPr>
              <w:t>uS</w:t>
            </w:r>
            <w:proofErr w:type="spellEnd"/>
            <w:r>
              <w:rPr>
                <w:sz w:val="22"/>
              </w:rPr>
              <w:t>/cm (low)</w:t>
            </w:r>
          </w:p>
          <w:p w:rsidR="00351F8D" w:rsidRPr="000E61A5" w:rsidRDefault="00351F8D" w:rsidP="00351F8D">
            <w:pPr>
              <w:pStyle w:val="BodyText"/>
              <w:rPr>
                <w:sz w:val="22"/>
              </w:rPr>
            </w:pPr>
            <w:r>
              <w:rPr>
                <w:sz w:val="22"/>
              </w:rPr>
              <w:t xml:space="preserve">+/- 40 </w:t>
            </w:r>
            <w:proofErr w:type="spellStart"/>
            <w:r>
              <w:rPr>
                <w:sz w:val="22"/>
              </w:rPr>
              <w:t>uS</w:t>
            </w:r>
            <w:proofErr w:type="spellEnd"/>
            <w:r>
              <w:rPr>
                <w:sz w:val="22"/>
              </w:rPr>
              <w:t xml:space="preserve">/cm (high) </w:t>
            </w:r>
            <w:r w:rsidRPr="000E61A5">
              <w:rPr>
                <w:sz w:val="22"/>
              </w:rPr>
              <w:t>when compared to side-by-side field measurements</w:t>
            </w:r>
          </w:p>
        </w:tc>
      </w:tr>
      <w:tr w:rsidR="00351F8D" w:rsidRPr="000E61A5" w:rsidTr="004A6BC1">
        <w:tc>
          <w:tcPr>
            <w:tcW w:w="1530" w:type="dxa"/>
            <w:vAlign w:val="center"/>
          </w:tcPr>
          <w:p w:rsidR="00351F8D" w:rsidRPr="000E61A5" w:rsidRDefault="00351F8D" w:rsidP="004A6BC1">
            <w:pPr>
              <w:pStyle w:val="BodyText"/>
              <w:rPr>
                <w:sz w:val="22"/>
              </w:rPr>
            </w:pPr>
            <w:r w:rsidRPr="000E61A5">
              <w:rPr>
                <w:sz w:val="22"/>
              </w:rPr>
              <w:t>Temperature</w:t>
            </w:r>
          </w:p>
        </w:tc>
        <w:tc>
          <w:tcPr>
            <w:tcW w:w="990" w:type="dxa"/>
            <w:vAlign w:val="center"/>
          </w:tcPr>
          <w:p w:rsidR="00351F8D" w:rsidRPr="000E61A5" w:rsidRDefault="00351F8D" w:rsidP="004A6BC1">
            <w:pPr>
              <w:pStyle w:val="BodyText"/>
              <w:rPr>
                <w:sz w:val="22"/>
              </w:rPr>
            </w:pPr>
            <w:r w:rsidRPr="000E61A5">
              <w:rPr>
                <w:sz w:val="22"/>
              </w:rPr>
              <w:t>°C</w:t>
            </w:r>
          </w:p>
        </w:tc>
        <w:tc>
          <w:tcPr>
            <w:tcW w:w="1084" w:type="dxa"/>
            <w:vAlign w:val="center"/>
          </w:tcPr>
          <w:p w:rsidR="00351F8D" w:rsidRPr="000E61A5" w:rsidRDefault="00351F8D" w:rsidP="004A6BC1">
            <w:pPr>
              <w:pStyle w:val="BodyText"/>
              <w:rPr>
                <w:sz w:val="22"/>
              </w:rPr>
            </w:pPr>
            <w:r w:rsidRPr="000E61A5">
              <w:rPr>
                <w:sz w:val="22"/>
              </w:rPr>
              <w:t>0-35°</w:t>
            </w:r>
          </w:p>
        </w:tc>
        <w:tc>
          <w:tcPr>
            <w:tcW w:w="2336" w:type="dxa"/>
            <w:vAlign w:val="center"/>
          </w:tcPr>
          <w:p w:rsidR="00351F8D" w:rsidRPr="000E61A5" w:rsidRDefault="00351F8D" w:rsidP="004A6BC1">
            <w:pPr>
              <w:pStyle w:val="BodyText"/>
              <w:rPr>
                <w:sz w:val="22"/>
              </w:rPr>
            </w:pPr>
            <w:r w:rsidRPr="000E61A5">
              <w:rPr>
                <w:sz w:val="22"/>
              </w:rPr>
              <w:t>0.</w:t>
            </w:r>
            <w:r>
              <w:rPr>
                <w:sz w:val="22"/>
              </w:rPr>
              <w:t>2</w:t>
            </w:r>
            <w:r w:rsidRPr="000E61A5">
              <w:rPr>
                <w:sz w:val="22"/>
              </w:rPr>
              <w:t>° (vs. NIST-traceable thermometer)</w:t>
            </w:r>
          </w:p>
        </w:tc>
        <w:tc>
          <w:tcPr>
            <w:tcW w:w="1260" w:type="dxa"/>
            <w:vAlign w:val="center"/>
          </w:tcPr>
          <w:p w:rsidR="00351F8D" w:rsidRPr="000E61A5" w:rsidRDefault="00351F8D" w:rsidP="004A6BC1">
            <w:pPr>
              <w:pStyle w:val="BodyText"/>
              <w:rPr>
                <w:sz w:val="22"/>
              </w:rPr>
            </w:pPr>
            <w:r w:rsidRPr="000E61A5">
              <w:rPr>
                <w:sz w:val="22"/>
              </w:rPr>
              <w:t>0.</w:t>
            </w:r>
            <w:r>
              <w:rPr>
                <w:sz w:val="22"/>
              </w:rPr>
              <w:t>01</w:t>
            </w:r>
            <w:r w:rsidRPr="000E61A5">
              <w:rPr>
                <w:sz w:val="22"/>
              </w:rPr>
              <w:t>°</w:t>
            </w:r>
            <w:r>
              <w:rPr>
                <w:sz w:val="22"/>
              </w:rPr>
              <w:t xml:space="preserve"> C</w:t>
            </w:r>
          </w:p>
        </w:tc>
        <w:tc>
          <w:tcPr>
            <w:tcW w:w="2520" w:type="dxa"/>
            <w:vAlign w:val="center"/>
          </w:tcPr>
          <w:p w:rsidR="00351F8D" w:rsidRPr="000E61A5" w:rsidRDefault="00351F8D" w:rsidP="004A6BC1">
            <w:pPr>
              <w:pStyle w:val="BodyText"/>
              <w:rPr>
                <w:sz w:val="22"/>
              </w:rPr>
            </w:pPr>
            <w:r w:rsidRPr="000E61A5">
              <w:rPr>
                <w:sz w:val="22"/>
              </w:rPr>
              <w:t>&lt; 0.5 difference when compared to side-by-side field measurements</w:t>
            </w:r>
          </w:p>
        </w:tc>
      </w:tr>
      <w:tr w:rsidR="00351F8D" w:rsidRPr="000E61A5" w:rsidTr="004A6BC1">
        <w:tc>
          <w:tcPr>
            <w:tcW w:w="1530" w:type="dxa"/>
            <w:vAlign w:val="center"/>
          </w:tcPr>
          <w:p w:rsidR="00351F8D" w:rsidRPr="000E61A5" w:rsidRDefault="00351F8D" w:rsidP="004A6BC1">
            <w:pPr>
              <w:pStyle w:val="BodyText"/>
              <w:rPr>
                <w:sz w:val="22"/>
              </w:rPr>
            </w:pPr>
            <w:r w:rsidRPr="000E61A5">
              <w:rPr>
                <w:sz w:val="22"/>
              </w:rPr>
              <w:t>Time (sensor internal clock)</w:t>
            </w:r>
          </w:p>
        </w:tc>
        <w:tc>
          <w:tcPr>
            <w:tcW w:w="990" w:type="dxa"/>
            <w:vAlign w:val="center"/>
          </w:tcPr>
          <w:p w:rsidR="00351F8D" w:rsidRPr="000E61A5" w:rsidRDefault="00351F8D" w:rsidP="004A6BC1">
            <w:pPr>
              <w:pStyle w:val="BodyText"/>
              <w:rPr>
                <w:sz w:val="22"/>
              </w:rPr>
            </w:pPr>
            <w:r w:rsidRPr="000E61A5">
              <w:rPr>
                <w:sz w:val="22"/>
              </w:rPr>
              <w:t>minutes, seconds</w:t>
            </w:r>
          </w:p>
        </w:tc>
        <w:tc>
          <w:tcPr>
            <w:tcW w:w="1084" w:type="dxa"/>
            <w:vAlign w:val="center"/>
          </w:tcPr>
          <w:p w:rsidR="00351F8D" w:rsidRPr="000E61A5" w:rsidRDefault="00351F8D" w:rsidP="004A6BC1">
            <w:pPr>
              <w:pStyle w:val="BodyText"/>
              <w:rPr>
                <w:sz w:val="22"/>
              </w:rPr>
            </w:pPr>
            <w:r w:rsidRPr="000E61A5">
              <w:rPr>
                <w:sz w:val="22"/>
              </w:rPr>
              <w:t>---</w:t>
            </w:r>
          </w:p>
        </w:tc>
        <w:tc>
          <w:tcPr>
            <w:tcW w:w="2336" w:type="dxa"/>
            <w:vAlign w:val="center"/>
          </w:tcPr>
          <w:p w:rsidR="00351F8D" w:rsidRPr="000E61A5" w:rsidRDefault="00351F8D" w:rsidP="004A6BC1">
            <w:pPr>
              <w:pStyle w:val="BodyText"/>
              <w:rPr>
                <w:sz w:val="22"/>
              </w:rPr>
            </w:pPr>
            <w:r>
              <w:rPr>
                <w:sz w:val="22"/>
              </w:rPr>
              <w:t>+/- 1 minute per month</w:t>
            </w:r>
          </w:p>
        </w:tc>
        <w:tc>
          <w:tcPr>
            <w:tcW w:w="1260" w:type="dxa"/>
            <w:vAlign w:val="center"/>
          </w:tcPr>
          <w:p w:rsidR="00351F8D" w:rsidRPr="000E61A5" w:rsidRDefault="00351F8D" w:rsidP="004A6BC1">
            <w:pPr>
              <w:pStyle w:val="BodyText"/>
              <w:rPr>
                <w:sz w:val="22"/>
              </w:rPr>
            </w:pPr>
            <w:r w:rsidRPr="000E61A5">
              <w:rPr>
                <w:sz w:val="22"/>
              </w:rPr>
              <w:t>1 sec.</w:t>
            </w:r>
          </w:p>
        </w:tc>
        <w:tc>
          <w:tcPr>
            <w:tcW w:w="2520" w:type="dxa"/>
            <w:vAlign w:val="center"/>
          </w:tcPr>
          <w:p w:rsidR="00351F8D" w:rsidRPr="000E61A5" w:rsidRDefault="00351F8D" w:rsidP="004A6BC1">
            <w:pPr>
              <w:pStyle w:val="BodyText"/>
              <w:rPr>
                <w:sz w:val="22"/>
              </w:rPr>
            </w:pPr>
            <w:r w:rsidRPr="000E61A5">
              <w:rPr>
                <w:sz w:val="22"/>
              </w:rPr>
              <w:t>---</w:t>
            </w:r>
          </w:p>
        </w:tc>
      </w:tr>
    </w:tbl>
    <w:p w:rsidR="00246F3C" w:rsidRPr="000E61A5" w:rsidRDefault="00246F3C" w:rsidP="00246F3C">
      <w:pPr>
        <w:rPr>
          <w:b/>
          <w:sz w:val="22"/>
        </w:rPr>
      </w:pPr>
      <w:r w:rsidRPr="000E61A5">
        <w:rPr>
          <w:sz w:val="22"/>
        </w:rPr>
        <w:t xml:space="preserve"> </w:t>
      </w:r>
    </w:p>
    <w:p w:rsidR="00246F3C" w:rsidRPr="000E61A5" w:rsidRDefault="00246F3C" w:rsidP="00246F3C">
      <w:pPr>
        <w:rPr>
          <w:b/>
        </w:rPr>
      </w:pPr>
    </w:p>
    <w:p w:rsidR="00246F3C" w:rsidRPr="000E61A5" w:rsidRDefault="00246F3C" w:rsidP="00246F3C">
      <w:r w:rsidRPr="000E61A5">
        <w:rPr>
          <w:b/>
        </w:rPr>
        <w:t>10.0</w:t>
      </w:r>
      <w:r w:rsidRPr="000E61A5">
        <w:rPr>
          <w:b/>
        </w:rPr>
        <w:tab/>
        <w:t>INTERFERENCES</w:t>
      </w:r>
    </w:p>
    <w:p w:rsidR="00246F3C" w:rsidRPr="000E61A5" w:rsidRDefault="00246F3C" w:rsidP="00246F3C">
      <w:pPr>
        <w:rPr>
          <w:bCs/>
          <w:sz w:val="20"/>
        </w:rPr>
      </w:pPr>
    </w:p>
    <w:p w:rsidR="00246F3C" w:rsidRPr="000E61A5" w:rsidRDefault="00246F3C" w:rsidP="00246F3C">
      <w:pPr>
        <w:pStyle w:val="FootnoteText"/>
        <w:rPr>
          <w:bCs/>
          <w:sz w:val="22"/>
        </w:rPr>
      </w:pPr>
      <w:r w:rsidRPr="000E61A5">
        <w:rPr>
          <w:bCs/>
          <w:sz w:val="22"/>
        </w:rPr>
        <w:t xml:space="preserve">See Section 8.0 for discussion of potential complications and problems related to sensor setup, location and poor quality control. </w:t>
      </w:r>
    </w:p>
    <w:p w:rsidR="00246F3C" w:rsidRPr="000E61A5" w:rsidRDefault="00246F3C" w:rsidP="00246F3C">
      <w:pPr>
        <w:rPr>
          <w:b/>
          <w:sz w:val="22"/>
        </w:rPr>
      </w:pPr>
    </w:p>
    <w:p w:rsidR="00246F3C" w:rsidRPr="000E61A5" w:rsidRDefault="00246F3C" w:rsidP="00246F3C">
      <w:pPr>
        <w:numPr>
          <w:ilvl w:val="0"/>
          <w:numId w:val="1"/>
        </w:numPr>
        <w:rPr>
          <w:b/>
        </w:rPr>
      </w:pPr>
      <w:r w:rsidRPr="000E61A5">
        <w:rPr>
          <w:b/>
        </w:rPr>
        <w:t>PREVENTIVE MAINTENANCE</w:t>
      </w:r>
    </w:p>
    <w:p w:rsidR="00246F3C" w:rsidRPr="000E61A5" w:rsidRDefault="00246F3C" w:rsidP="00246F3C"/>
    <w:p w:rsidR="00246F3C" w:rsidRPr="000E61A5" w:rsidRDefault="00246F3C" w:rsidP="00246F3C">
      <w:pPr>
        <w:rPr>
          <w:sz w:val="22"/>
        </w:rPr>
      </w:pPr>
      <w:r w:rsidRPr="000E61A5">
        <w:rPr>
          <w:sz w:val="22"/>
        </w:rPr>
        <w:t xml:space="preserve">Upon retrieval and transport back to the office, thoroughly wash and clean sensor units, cases, cables and anchors with soap and warm water.  </w:t>
      </w:r>
      <w:r w:rsidR="00351F8D">
        <w:rPr>
          <w:sz w:val="22"/>
        </w:rPr>
        <w:t xml:space="preserve">DO NOT SCRATCH SENSOR FACE.  </w:t>
      </w:r>
      <w:proofErr w:type="gramStart"/>
      <w:r w:rsidRPr="000E61A5">
        <w:rPr>
          <w:sz w:val="22"/>
        </w:rPr>
        <w:t>Store in labeled box/bin accordingly for the next user.</w:t>
      </w:r>
      <w:proofErr w:type="gramEnd"/>
      <w:r w:rsidRPr="000E61A5">
        <w:rPr>
          <w:sz w:val="22"/>
        </w:rPr>
        <w:t xml:space="preserve"> </w:t>
      </w:r>
    </w:p>
    <w:p w:rsidR="00246F3C" w:rsidRPr="000E61A5" w:rsidRDefault="00246F3C" w:rsidP="00246F3C">
      <w:pPr>
        <w:pStyle w:val="Footer"/>
        <w:tabs>
          <w:tab w:val="clear" w:pos="4320"/>
          <w:tab w:val="clear" w:pos="8640"/>
        </w:tabs>
      </w:pPr>
    </w:p>
    <w:p w:rsidR="00246F3C" w:rsidRPr="000E61A5" w:rsidRDefault="00246F3C" w:rsidP="00246F3C">
      <w:pPr>
        <w:numPr>
          <w:ilvl w:val="0"/>
          <w:numId w:val="1"/>
        </w:numPr>
        <w:rPr>
          <w:b/>
        </w:rPr>
      </w:pPr>
      <w:r w:rsidRPr="000E61A5">
        <w:rPr>
          <w:b/>
        </w:rPr>
        <w:t>CORRECTIVE ACTIONS</w:t>
      </w:r>
    </w:p>
    <w:p w:rsidR="00246F3C" w:rsidRPr="000E61A5" w:rsidRDefault="00246F3C" w:rsidP="00246F3C">
      <w:pPr>
        <w:rPr>
          <w:b/>
        </w:rPr>
      </w:pPr>
    </w:p>
    <w:p w:rsidR="00246F3C" w:rsidRPr="000E61A5" w:rsidRDefault="00246F3C" w:rsidP="00246F3C">
      <w:pPr>
        <w:rPr>
          <w:bCs/>
          <w:sz w:val="22"/>
        </w:rPr>
      </w:pPr>
      <w:r w:rsidRPr="000E61A5">
        <w:rPr>
          <w:bCs/>
          <w:sz w:val="22"/>
        </w:rPr>
        <w:t>Take the following corrective actions (as needed) during and following data collection:</w:t>
      </w:r>
    </w:p>
    <w:p w:rsidR="00246F3C" w:rsidRPr="000E61A5" w:rsidRDefault="00246F3C" w:rsidP="00246F3C">
      <w:pPr>
        <w:rPr>
          <w:bCs/>
          <w:sz w:val="22"/>
        </w:rPr>
      </w:pPr>
    </w:p>
    <w:p w:rsidR="00246F3C" w:rsidRPr="000E61A5" w:rsidRDefault="00246F3C" w:rsidP="00246F3C">
      <w:pPr>
        <w:numPr>
          <w:ilvl w:val="0"/>
          <w:numId w:val="10"/>
        </w:numPr>
        <w:spacing w:before="120" w:after="120"/>
        <w:rPr>
          <w:bCs/>
          <w:sz w:val="22"/>
        </w:rPr>
      </w:pPr>
      <w:r w:rsidRPr="000E61A5">
        <w:rPr>
          <w:bCs/>
          <w:sz w:val="22"/>
        </w:rPr>
        <w:t xml:space="preserve">Inspect sensor placement immediately following deployment and during data collection for problems related to sensor placement.   If encased sensor is not in the water column, retrieve and replace correctly.   Document on </w:t>
      </w:r>
      <w:proofErr w:type="spellStart"/>
      <w:r w:rsidRPr="000E61A5">
        <w:rPr>
          <w:bCs/>
          <w:sz w:val="22"/>
        </w:rPr>
        <w:t>fieldsheet</w:t>
      </w:r>
      <w:proofErr w:type="spellEnd"/>
      <w:r w:rsidRPr="000E61A5">
        <w:rPr>
          <w:bCs/>
          <w:sz w:val="22"/>
        </w:rPr>
        <w:t xml:space="preserve"> that sensor was re-positioned (even if for a moment).</w:t>
      </w:r>
    </w:p>
    <w:p w:rsidR="00246F3C" w:rsidRPr="000E61A5" w:rsidRDefault="00246F3C" w:rsidP="00246F3C">
      <w:pPr>
        <w:rPr>
          <w:b/>
        </w:rPr>
      </w:pPr>
    </w:p>
    <w:p w:rsidR="00246F3C" w:rsidRPr="000E61A5" w:rsidRDefault="00246F3C" w:rsidP="00246F3C">
      <w:pPr>
        <w:numPr>
          <w:ilvl w:val="0"/>
          <w:numId w:val="1"/>
        </w:numPr>
        <w:rPr>
          <w:b/>
        </w:rPr>
      </w:pPr>
      <w:r w:rsidRPr="000E61A5">
        <w:rPr>
          <w:b/>
        </w:rPr>
        <w:t>WASTE AND POLLUTION PREVENTION</w:t>
      </w:r>
    </w:p>
    <w:p w:rsidR="00246F3C" w:rsidRPr="000E61A5" w:rsidRDefault="00246F3C" w:rsidP="00246F3C">
      <w:pPr>
        <w:pStyle w:val="Footer"/>
        <w:tabs>
          <w:tab w:val="clear" w:pos="4320"/>
          <w:tab w:val="clear" w:pos="8640"/>
        </w:tabs>
        <w:rPr>
          <w:b/>
        </w:rPr>
      </w:pPr>
    </w:p>
    <w:p w:rsidR="00246F3C" w:rsidRPr="000E61A5" w:rsidRDefault="00246F3C" w:rsidP="00246F3C">
      <w:pPr>
        <w:pStyle w:val="Footer"/>
        <w:tabs>
          <w:tab w:val="clear" w:pos="4320"/>
          <w:tab w:val="clear" w:pos="8640"/>
        </w:tabs>
        <w:rPr>
          <w:bCs/>
          <w:sz w:val="22"/>
        </w:rPr>
      </w:pPr>
      <w:r w:rsidRPr="000E61A5">
        <w:rPr>
          <w:bCs/>
          <w:sz w:val="22"/>
        </w:rPr>
        <w:t>Consider the following in order to minimize waste during continuous temperature sensing projects:</w:t>
      </w:r>
    </w:p>
    <w:p w:rsidR="00246F3C" w:rsidRPr="000E61A5" w:rsidRDefault="00246F3C" w:rsidP="00246F3C">
      <w:pPr>
        <w:pStyle w:val="Footer"/>
        <w:tabs>
          <w:tab w:val="clear" w:pos="4320"/>
          <w:tab w:val="clear" w:pos="8640"/>
        </w:tabs>
        <w:spacing w:before="120" w:after="120"/>
        <w:ind w:left="720" w:hanging="360"/>
        <w:rPr>
          <w:bCs/>
          <w:sz w:val="22"/>
        </w:rPr>
      </w:pPr>
      <w:r w:rsidRPr="000E61A5">
        <w:rPr>
          <w:bCs/>
          <w:sz w:val="22"/>
        </w:rPr>
        <w:t xml:space="preserve">1. </w:t>
      </w:r>
      <w:r w:rsidRPr="000E61A5">
        <w:rPr>
          <w:bCs/>
          <w:sz w:val="22"/>
        </w:rPr>
        <w:tab/>
        <w:t>Reuse sensor PVC/ABS cases as much as possible by cleaning and storing after use.</w:t>
      </w:r>
    </w:p>
    <w:p w:rsidR="00246F3C" w:rsidRPr="000E61A5" w:rsidRDefault="00246F3C" w:rsidP="00246F3C">
      <w:pPr>
        <w:pStyle w:val="Footer"/>
        <w:tabs>
          <w:tab w:val="clear" w:pos="4320"/>
          <w:tab w:val="clear" w:pos="8640"/>
        </w:tabs>
        <w:spacing w:before="120" w:after="120"/>
        <w:ind w:left="720" w:hanging="360"/>
        <w:rPr>
          <w:bCs/>
          <w:sz w:val="22"/>
        </w:rPr>
      </w:pPr>
      <w:r w:rsidRPr="000E61A5">
        <w:rPr>
          <w:bCs/>
          <w:sz w:val="22"/>
        </w:rPr>
        <w:t xml:space="preserve">2. </w:t>
      </w:r>
      <w:r w:rsidRPr="000E61A5">
        <w:rPr>
          <w:bCs/>
          <w:sz w:val="22"/>
        </w:rPr>
        <w:tab/>
        <w:t>When planning QC field checks/audits of the sensors, combine the effort with water quality and/or other field surveys to save staff resources, gas, etc.</w:t>
      </w:r>
    </w:p>
    <w:p w:rsidR="00246F3C" w:rsidRPr="000E61A5" w:rsidRDefault="00246F3C" w:rsidP="00246F3C">
      <w:pPr>
        <w:pStyle w:val="Footer"/>
        <w:tabs>
          <w:tab w:val="clear" w:pos="4320"/>
          <w:tab w:val="clear" w:pos="8640"/>
        </w:tabs>
        <w:rPr>
          <w:b/>
        </w:rPr>
      </w:pPr>
    </w:p>
    <w:p w:rsidR="00246F3C" w:rsidRPr="000E61A5" w:rsidRDefault="00246F3C" w:rsidP="00246F3C">
      <w:pPr>
        <w:pStyle w:val="Footer"/>
        <w:tabs>
          <w:tab w:val="clear" w:pos="4320"/>
          <w:tab w:val="clear" w:pos="8640"/>
        </w:tabs>
      </w:pPr>
      <w:r w:rsidRPr="000E61A5">
        <w:rPr>
          <w:b/>
        </w:rPr>
        <w:t>14.0</w:t>
      </w:r>
      <w:r w:rsidRPr="000E61A5">
        <w:rPr>
          <w:b/>
        </w:rPr>
        <w:tab/>
        <w:t>REFERENCES</w:t>
      </w:r>
    </w:p>
    <w:p w:rsidR="00246F3C" w:rsidRPr="000E61A5" w:rsidRDefault="00246F3C" w:rsidP="00246F3C">
      <w:pPr>
        <w:rPr>
          <w:b/>
        </w:rPr>
      </w:pPr>
    </w:p>
    <w:p w:rsidR="00246F3C" w:rsidRDefault="00013265" w:rsidP="00246F3C">
      <w:pPr>
        <w:rPr>
          <w:sz w:val="20"/>
        </w:rPr>
      </w:pPr>
      <w:r w:rsidRPr="00013265">
        <w:rPr>
          <w:sz w:val="20"/>
        </w:rPr>
        <w:t xml:space="preserve">Barron, J.J. and Ashton, C. </w:t>
      </w:r>
      <w:proofErr w:type="gramStart"/>
      <w:r w:rsidRPr="00013265">
        <w:rPr>
          <w:sz w:val="20"/>
        </w:rPr>
        <w:t>The Effect of Temperature on Conductivity Measurement.</w:t>
      </w:r>
      <w:proofErr w:type="gramEnd"/>
      <w:r w:rsidRPr="00013265">
        <w:rPr>
          <w:sz w:val="20"/>
        </w:rPr>
        <w:t xml:space="preserve"> http://www.reagecon.com/PerspectiveCMS/uploads/ Effect_of_Temperature_TSP-07_Issue3.pdf</w:t>
      </w:r>
    </w:p>
    <w:p w:rsidR="00013265" w:rsidRPr="00013265" w:rsidRDefault="00013265" w:rsidP="00246F3C">
      <w:pPr>
        <w:rPr>
          <w:sz w:val="20"/>
        </w:rPr>
      </w:pPr>
    </w:p>
    <w:p w:rsidR="00013265" w:rsidRDefault="00013265" w:rsidP="00246F3C"/>
    <w:p w:rsidR="00013265" w:rsidRPr="000E61A5" w:rsidRDefault="00013265" w:rsidP="00246F3C">
      <w:pPr>
        <w:rPr>
          <w:b/>
        </w:rPr>
      </w:pPr>
    </w:p>
    <w:p w:rsidR="00246F3C" w:rsidRPr="000E61A5" w:rsidRDefault="00246F3C">
      <w:pPr>
        <w:spacing w:after="200" w:line="276" w:lineRule="auto"/>
      </w:pPr>
      <w:r w:rsidRPr="000E61A5">
        <w:br w:type="page"/>
      </w:r>
    </w:p>
    <w:p w:rsidR="00246F3C" w:rsidRDefault="00246F3C" w:rsidP="00246F3C">
      <w:pPr>
        <w:jc w:val="center"/>
      </w:pPr>
      <w:r>
        <w:t>Appendix A</w:t>
      </w:r>
    </w:p>
    <w:p w:rsidR="00246F3C" w:rsidRDefault="00246F3C" w:rsidP="00246F3C">
      <w:pPr>
        <w:jc w:val="center"/>
      </w:pPr>
    </w:p>
    <w:p w:rsidR="00246F3C" w:rsidRDefault="00246F3C" w:rsidP="00246F3C">
      <w:pPr>
        <w:jc w:val="center"/>
      </w:pPr>
      <w:r>
        <w:t>Onset HOBO U24 Manual</w:t>
      </w:r>
    </w:p>
    <w:p w:rsidR="00246F3C" w:rsidRDefault="00246F3C" w:rsidP="00246F3C">
      <w:pPr>
        <w:jc w:val="center"/>
      </w:pPr>
      <w:r>
        <w:t>(</w:t>
      </w:r>
      <w:proofErr w:type="gramStart"/>
      <w:r>
        <w:t>double</w:t>
      </w:r>
      <w:proofErr w:type="gramEnd"/>
      <w:r>
        <w:t xml:space="preserve"> click on object below to open manual)</w:t>
      </w:r>
    </w:p>
    <w:p w:rsidR="00BD7830" w:rsidRDefault="00246F3C">
      <w: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627pt" o:ole="">
            <v:imagedata r:id="rId8" o:title=""/>
          </v:shape>
          <o:OLEObject Type="Embed" ProgID="AcroExch.Document.7" ShapeID="_x0000_i1025" DrawAspect="Content" ObjectID="_1569650059" r:id="rId9"/>
        </w:object>
      </w:r>
    </w:p>
    <w:p w:rsidR="00351F8D" w:rsidRDefault="00351F8D" w:rsidP="00351F8D">
      <w:pPr>
        <w:jc w:val="center"/>
      </w:pPr>
      <w:r>
        <w:t>Appendix B</w:t>
      </w:r>
    </w:p>
    <w:p w:rsidR="00351F8D" w:rsidRDefault="00351F8D" w:rsidP="00351F8D">
      <w:pPr>
        <w:jc w:val="center"/>
      </w:pPr>
    </w:p>
    <w:p w:rsidR="00351F8D" w:rsidRDefault="00351F8D" w:rsidP="00351F8D">
      <w:pPr>
        <w:jc w:val="center"/>
      </w:pPr>
      <w:r>
        <w:t>Correction Factors for Conductivity – Specific Conductance</w:t>
      </w:r>
    </w:p>
    <w:p w:rsidR="00351F8D" w:rsidRDefault="00351F8D" w:rsidP="00351F8D">
      <w:pPr>
        <w:jc w:val="center"/>
      </w:pPr>
      <w:r>
        <w:t>(</w:t>
      </w:r>
      <w:proofErr w:type="gramStart"/>
      <w:r>
        <w:t>double</w:t>
      </w:r>
      <w:proofErr w:type="gramEnd"/>
      <w:r>
        <w:t xml:space="preserve"> click on objects below)</w:t>
      </w:r>
    </w:p>
    <w:p w:rsidR="00351F8D" w:rsidRDefault="00351F8D">
      <w:pPr>
        <w:spacing w:after="200" w:line="276" w:lineRule="auto"/>
      </w:pPr>
      <w:r>
        <w:br w:type="page"/>
      </w:r>
    </w:p>
    <w:p w:rsidR="00351F8D" w:rsidRDefault="00351F8D" w:rsidP="00351F8D">
      <w:pPr>
        <w:jc w:val="center"/>
      </w:pPr>
      <w:r>
        <w:object w:dxaOrig="9180" w:dyaOrig="11880">
          <v:shape id="_x0000_i1026" type="#_x0000_t75" style="width:459pt;height:594pt" o:ole="">
            <v:imagedata r:id="rId10" o:title=""/>
          </v:shape>
          <o:OLEObject Type="Embed" ProgID="AcroExch.Document.7" ShapeID="_x0000_i1026" DrawAspect="Content" ObjectID="_1569650060" r:id="rId11"/>
        </w:object>
      </w:r>
    </w:p>
    <w:p w:rsidR="00351F8D" w:rsidRDefault="00351F8D" w:rsidP="00351F8D">
      <w:pPr>
        <w:jc w:val="center"/>
      </w:pPr>
    </w:p>
    <w:p w:rsidR="00351F8D" w:rsidRDefault="00351F8D" w:rsidP="00351F8D">
      <w:pPr>
        <w:jc w:val="center"/>
      </w:pPr>
    </w:p>
    <w:p w:rsidR="00351F8D" w:rsidRDefault="00351F8D" w:rsidP="00351F8D">
      <w:pPr>
        <w:jc w:val="center"/>
      </w:pPr>
    </w:p>
    <w:p w:rsidR="00351F8D" w:rsidRDefault="00351F8D" w:rsidP="00351F8D">
      <w:pPr>
        <w:jc w:val="center"/>
      </w:pPr>
    </w:p>
    <w:p w:rsidR="00351F8D" w:rsidRDefault="00351F8D"/>
    <w:sectPr w:rsidR="00351F8D" w:rsidSect="00BD7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1E7F"/>
    <w:multiLevelType w:val="hybridMultilevel"/>
    <w:tmpl w:val="5B5069AA"/>
    <w:lvl w:ilvl="0" w:tplc="0409000F">
      <w:start w:val="1"/>
      <w:numFmt w:val="decimal"/>
      <w:lvlText w:val="%1."/>
      <w:lvlJc w:val="left"/>
      <w:pPr>
        <w:tabs>
          <w:tab w:val="num" w:pos="720"/>
        </w:tabs>
        <w:ind w:left="720" w:hanging="360"/>
      </w:pPr>
      <w:rPr>
        <w:rFonts w:hint="default"/>
      </w:rPr>
    </w:lvl>
    <w:lvl w:ilvl="1" w:tplc="2C4A5D38">
      <w:start w:val="5"/>
      <w:numFmt w:val="decimal"/>
      <w:lvlText w:val="%2)"/>
      <w:lvlJc w:val="left"/>
      <w:pPr>
        <w:tabs>
          <w:tab w:val="num" w:pos="1440"/>
        </w:tabs>
        <w:ind w:left="1440" w:hanging="360"/>
      </w:pPr>
      <w:rPr>
        <w:rFonts w:hint="default"/>
        <w:b/>
        <w:u w:val="singl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782D72"/>
    <w:multiLevelType w:val="hybridMultilevel"/>
    <w:tmpl w:val="A7E0DE3C"/>
    <w:lvl w:ilvl="0" w:tplc="0409000F">
      <w:start w:val="1"/>
      <w:numFmt w:val="decimal"/>
      <w:lvlText w:val="%1."/>
      <w:lvlJc w:val="left"/>
      <w:pPr>
        <w:tabs>
          <w:tab w:val="num" w:pos="720"/>
        </w:tabs>
        <w:ind w:left="720" w:hanging="360"/>
      </w:pPr>
      <w:rPr>
        <w:rFonts w:hint="default"/>
      </w:rPr>
    </w:lvl>
    <w:lvl w:ilvl="1" w:tplc="34AE80FA">
      <w:start w:val="1"/>
      <w:numFmt w:val="lowerLetter"/>
      <w:lvlText w:val="%2."/>
      <w:lvlJc w:val="left"/>
      <w:pPr>
        <w:tabs>
          <w:tab w:val="num" w:pos="1440"/>
        </w:tabs>
        <w:ind w:left="1440" w:hanging="360"/>
      </w:pPr>
      <w:rPr>
        <w:rFonts w:hint="default"/>
      </w:rPr>
    </w:lvl>
    <w:lvl w:ilvl="2" w:tplc="80F4740E">
      <w:numFmt w:val="bullet"/>
      <w:lvlText w:val=""/>
      <w:lvlJc w:val="left"/>
      <w:pPr>
        <w:ind w:left="2340" w:hanging="360"/>
      </w:pPr>
      <w:rPr>
        <w:rFonts w:ascii="Symbol" w:eastAsia="Times New Roman" w:hAnsi="Symbol" w:cs="Times New Roman" w:hint="default"/>
        <w:u w:val="single"/>
      </w:rPr>
    </w:lvl>
    <w:lvl w:ilvl="3" w:tplc="493C0226">
      <w:numFmt w:val="bullet"/>
      <w:lvlText w:val="-"/>
      <w:lvlJc w:val="left"/>
      <w:pPr>
        <w:ind w:left="2880" w:hanging="360"/>
      </w:pPr>
      <w:rPr>
        <w:rFonts w:ascii="Times New Roman" w:eastAsia="Times New Roman" w:hAnsi="Times New Roman" w:cs="Times New Roman" w:hint="default"/>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8149D9"/>
    <w:multiLevelType w:val="hybridMultilevel"/>
    <w:tmpl w:val="82E4DD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74F16C5"/>
    <w:multiLevelType w:val="hybridMultilevel"/>
    <w:tmpl w:val="676AB7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081660F"/>
    <w:multiLevelType w:val="hybridMultilevel"/>
    <w:tmpl w:val="0172EF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120EE4"/>
    <w:multiLevelType w:val="hybridMultilevel"/>
    <w:tmpl w:val="5860E6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734F01"/>
    <w:multiLevelType w:val="hybridMultilevel"/>
    <w:tmpl w:val="F0941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6864E3"/>
    <w:multiLevelType w:val="hybridMultilevel"/>
    <w:tmpl w:val="C450C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853AF8"/>
    <w:multiLevelType w:val="multilevel"/>
    <w:tmpl w:val="BE5E8C56"/>
    <w:lvl w:ilvl="0">
      <w:start w:val="1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503E22BE"/>
    <w:multiLevelType w:val="hybridMultilevel"/>
    <w:tmpl w:val="BF6054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0B5960"/>
    <w:multiLevelType w:val="hybridMultilevel"/>
    <w:tmpl w:val="AB9E3908"/>
    <w:lvl w:ilvl="0" w:tplc="0409000F">
      <w:start w:val="1"/>
      <w:numFmt w:val="decimal"/>
      <w:lvlText w:val="%1."/>
      <w:lvlJc w:val="left"/>
      <w:pPr>
        <w:tabs>
          <w:tab w:val="num" w:pos="720"/>
        </w:tabs>
        <w:ind w:left="720" w:hanging="360"/>
      </w:pPr>
      <w:rPr>
        <w:rFonts w:hint="default"/>
      </w:rPr>
    </w:lvl>
    <w:lvl w:ilvl="1" w:tplc="7922AC36">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E503FE"/>
    <w:multiLevelType w:val="hybridMultilevel"/>
    <w:tmpl w:val="7E20FA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781010"/>
    <w:multiLevelType w:val="hybridMultilevel"/>
    <w:tmpl w:val="D42885CC"/>
    <w:lvl w:ilvl="0" w:tplc="0409000F">
      <w:start w:val="1"/>
      <w:numFmt w:val="decimal"/>
      <w:lvlText w:val="%1."/>
      <w:lvlJc w:val="left"/>
      <w:pPr>
        <w:tabs>
          <w:tab w:val="num" w:pos="720"/>
        </w:tabs>
        <w:ind w:left="720" w:hanging="360"/>
      </w:pPr>
      <w:rPr>
        <w:rFonts w:hint="default"/>
      </w:rPr>
    </w:lvl>
    <w:lvl w:ilvl="1" w:tplc="5F50167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9"/>
  </w:num>
  <w:num w:numId="4">
    <w:abstractNumId w:val="1"/>
  </w:num>
  <w:num w:numId="5">
    <w:abstractNumId w:val="7"/>
  </w:num>
  <w:num w:numId="6">
    <w:abstractNumId w:val="3"/>
  </w:num>
  <w:num w:numId="7">
    <w:abstractNumId w:val="11"/>
  </w:num>
  <w:num w:numId="8">
    <w:abstractNumId w:val="4"/>
  </w:num>
  <w:num w:numId="9">
    <w:abstractNumId w:val="6"/>
  </w:num>
  <w:num w:numId="10">
    <w:abstractNumId w:val="0"/>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46F3C"/>
    <w:rsid w:val="00013265"/>
    <w:rsid w:val="000E61A5"/>
    <w:rsid w:val="001B655F"/>
    <w:rsid w:val="00246F3C"/>
    <w:rsid w:val="00263B79"/>
    <w:rsid w:val="00286E89"/>
    <w:rsid w:val="00293C48"/>
    <w:rsid w:val="00351F8D"/>
    <w:rsid w:val="004A6BC1"/>
    <w:rsid w:val="00502D21"/>
    <w:rsid w:val="00540083"/>
    <w:rsid w:val="005B2553"/>
    <w:rsid w:val="007F0E06"/>
    <w:rsid w:val="009B0EA1"/>
    <w:rsid w:val="00BD7830"/>
    <w:rsid w:val="00CF4232"/>
    <w:rsid w:val="00F10E25"/>
    <w:rsid w:val="00FB3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F3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246F3C"/>
    <w:pPr>
      <w:keepNext/>
      <w:jc w:val="center"/>
      <w:outlineLvl w:val="0"/>
    </w:pPr>
    <w:rPr>
      <w:b/>
      <w:u w:val="single"/>
    </w:rPr>
  </w:style>
  <w:style w:type="paragraph" w:styleId="Heading3">
    <w:name w:val="heading 3"/>
    <w:basedOn w:val="Normal"/>
    <w:next w:val="Normal"/>
    <w:link w:val="Heading3Char"/>
    <w:qFormat/>
    <w:rsid w:val="00246F3C"/>
    <w:pPr>
      <w:keepNext/>
      <w:jc w:val="center"/>
      <w:outlineLvl w:val="2"/>
    </w:pPr>
    <w:rPr>
      <w:b/>
      <w:sz w:val="48"/>
    </w:rPr>
  </w:style>
  <w:style w:type="paragraph" w:styleId="Heading4">
    <w:name w:val="heading 4"/>
    <w:basedOn w:val="Normal"/>
    <w:next w:val="Normal"/>
    <w:link w:val="Heading4Char"/>
    <w:qFormat/>
    <w:rsid w:val="00246F3C"/>
    <w:pPr>
      <w:keepNext/>
      <w:outlineLvl w:val="3"/>
    </w:pPr>
    <w:rPr>
      <w:b/>
    </w:rPr>
  </w:style>
  <w:style w:type="paragraph" w:styleId="Heading6">
    <w:name w:val="heading 6"/>
    <w:basedOn w:val="Normal"/>
    <w:next w:val="Normal"/>
    <w:link w:val="Heading6Char"/>
    <w:qFormat/>
    <w:rsid w:val="00246F3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6F3C"/>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246F3C"/>
    <w:rPr>
      <w:rFonts w:ascii="Times New Roman" w:eastAsia="Times New Roman" w:hAnsi="Times New Roman" w:cs="Times New Roman"/>
      <w:b/>
      <w:sz w:val="48"/>
      <w:szCs w:val="20"/>
    </w:rPr>
  </w:style>
  <w:style w:type="character" w:customStyle="1" w:styleId="Heading4Char">
    <w:name w:val="Heading 4 Char"/>
    <w:basedOn w:val="DefaultParagraphFont"/>
    <w:link w:val="Heading4"/>
    <w:rsid w:val="00246F3C"/>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246F3C"/>
    <w:rPr>
      <w:rFonts w:ascii="Times New Roman" w:eastAsia="Times New Roman" w:hAnsi="Times New Roman" w:cs="Times New Roman"/>
      <w:b/>
      <w:bCs/>
    </w:rPr>
  </w:style>
  <w:style w:type="paragraph" w:styleId="Footer">
    <w:name w:val="footer"/>
    <w:basedOn w:val="Normal"/>
    <w:link w:val="FooterChar"/>
    <w:rsid w:val="00246F3C"/>
    <w:pPr>
      <w:tabs>
        <w:tab w:val="center" w:pos="4320"/>
        <w:tab w:val="right" w:pos="8640"/>
      </w:tabs>
    </w:pPr>
  </w:style>
  <w:style w:type="character" w:customStyle="1" w:styleId="FooterChar">
    <w:name w:val="Footer Char"/>
    <w:basedOn w:val="DefaultParagraphFont"/>
    <w:link w:val="Footer"/>
    <w:rsid w:val="00246F3C"/>
    <w:rPr>
      <w:rFonts w:ascii="Times New Roman" w:eastAsia="Times New Roman" w:hAnsi="Times New Roman" w:cs="Times New Roman"/>
      <w:sz w:val="24"/>
      <w:szCs w:val="20"/>
    </w:rPr>
  </w:style>
  <w:style w:type="paragraph" w:styleId="FootnoteText">
    <w:name w:val="footnote text"/>
    <w:basedOn w:val="Normal"/>
    <w:link w:val="FootnoteTextChar"/>
    <w:semiHidden/>
    <w:rsid w:val="00246F3C"/>
    <w:rPr>
      <w:sz w:val="20"/>
    </w:rPr>
  </w:style>
  <w:style w:type="character" w:customStyle="1" w:styleId="FootnoteTextChar">
    <w:name w:val="Footnote Text Char"/>
    <w:basedOn w:val="DefaultParagraphFont"/>
    <w:link w:val="FootnoteText"/>
    <w:semiHidden/>
    <w:rsid w:val="00246F3C"/>
    <w:rPr>
      <w:rFonts w:ascii="Times New Roman" w:eastAsia="Times New Roman" w:hAnsi="Times New Roman" w:cs="Times New Roman"/>
      <w:sz w:val="20"/>
      <w:szCs w:val="20"/>
    </w:rPr>
  </w:style>
  <w:style w:type="paragraph" w:styleId="BodyText">
    <w:name w:val="Body Text"/>
    <w:basedOn w:val="Normal"/>
    <w:link w:val="BodyTextChar"/>
    <w:rsid w:val="00246F3C"/>
    <w:rPr>
      <w:sz w:val="18"/>
    </w:rPr>
  </w:style>
  <w:style w:type="character" w:customStyle="1" w:styleId="BodyTextChar">
    <w:name w:val="Body Text Char"/>
    <w:basedOn w:val="DefaultParagraphFont"/>
    <w:link w:val="BodyText"/>
    <w:rsid w:val="00246F3C"/>
    <w:rPr>
      <w:rFonts w:ascii="Times New Roman" w:eastAsia="Times New Roman" w:hAnsi="Times New Roman" w:cs="Times New Roman"/>
      <w:sz w:val="18"/>
      <w:szCs w:val="20"/>
    </w:rPr>
  </w:style>
  <w:style w:type="paragraph" w:styleId="BodyText3">
    <w:name w:val="Body Text 3"/>
    <w:basedOn w:val="Normal"/>
    <w:link w:val="BodyText3Char"/>
    <w:rsid w:val="00246F3C"/>
    <w:rPr>
      <w:rFonts w:ascii="Verdana" w:hAnsi="Verdana"/>
      <w:b/>
      <w:bCs/>
      <w:szCs w:val="24"/>
    </w:rPr>
  </w:style>
  <w:style w:type="character" w:customStyle="1" w:styleId="BodyText3Char">
    <w:name w:val="Body Text 3 Char"/>
    <w:basedOn w:val="DefaultParagraphFont"/>
    <w:link w:val="BodyText3"/>
    <w:rsid w:val="00246F3C"/>
    <w:rPr>
      <w:rFonts w:ascii="Verdana" w:eastAsia="Times New Roman" w:hAnsi="Verdana" w:cs="Times New Roman"/>
      <w:b/>
      <w:bCs/>
      <w:sz w:val="24"/>
      <w:szCs w:val="24"/>
    </w:rPr>
  </w:style>
  <w:style w:type="paragraph" w:customStyle="1" w:styleId="InsideAddress">
    <w:name w:val="Inside Address"/>
    <w:basedOn w:val="Normal"/>
    <w:rsid w:val="00246F3C"/>
    <w:rPr>
      <w:sz w:val="20"/>
    </w:rPr>
  </w:style>
  <w:style w:type="paragraph" w:styleId="Title">
    <w:name w:val="Title"/>
    <w:basedOn w:val="Normal"/>
    <w:link w:val="TitleChar"/>
    <w:qFormat/>
    <w:rsid w:val="00246F3C"/>
    <w:pPr>
      <w:jc w:val="center"/>
    </w:pPr>
    <w:rPr>
      <w:b/>
      <w:sz w:val="28"/>
    </w:rPr>
  </w:style>
  <w:style w:type="character" w:customStyle="1" w:styleId="TitleChar">
    <w:name w:val="Title Char"/>
    <w:basedOn w:val="DefaultParagraphFont"/>
    <w:link w:val="Title"/>
    <w:rsid w:val="00246F3C"/>
    <w:rPr>
      <w:rFonts w:ascii="Times New Roman" w:eastAsia="Times New Roman" w:hAnsi="Times New Roman" w:cs="Times New Roman"/>
      <w:b/>
      <w:sz w:val="28"/>
      <w:szCs w:val="20"/>
    </w:rPr>
  </w:style>
  <w:style w:type="paragraph" w:styleId="BalloonText">
    <w:name w:val="Balloon Text"/>
    <w:basedOn w:val="Normal"/>
    <w:link w:val="BalloonTextChar"/>
    <w:uiPriority w:val="99"/>
    <w:semiHidden/>
    <w:unhideWhenUsed/>
    <w:rsid w:val="00502D21"/>
    <w:rPr>
      <w:rFonts w:ascii="Tahoma" w:hAnsi="Tahoma" w:cs="Tahoma"/>
      <w:sz w:val="16"/>
      <w:szCs w:val="16"/>
    </w:rPr>
  </w:style>
  <w:style w:type="character" w:customStyle="1" w:styleId="BalloonTextChar">
    <w:name w:val="Balloon Text Char"/>
    <w:basedOn w:val="DefaultParagraphFont"/>
    <w:link w:val="BalloonText"/>
    <w:uiPriority w:val="99"/>
    <w:semiHidden/>
    <w:rsid w:val="00502D2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1913</Words>
  <Characters>10908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12796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rchase</dc:creator>
  <cp:lastModifiedBy>rchase</cp:lastModifiedBy>
  <cp:revision>6</cp:revision>
  <dcterms:created xsi:type="dcterms:W3CDTF">2017-05-11T11:55:00Z</dcterms:created>
  <dcterms:modified xsi:type="dcterms:W3CDTF">2017-10-16T13:08:00Z</dcterms:modified>
</cp:coreProperties>
</file>